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spacing w:line="288" w:lineRule="auto"/>
      </w:pPr>
    </w:p>
    <w:p>
      <w:pPr>
        <w:pStyle w:val="Body A"/>
        <w:spacing w:line="288" w:lineRule="auto"/>
        <w:rPr>
          <w:b w:val="1"/>
          <w:bCs w:val="1"/>
          <w:lang w:val="fr-FR"/>
        </w:rPr>
      </w:pPr>
      <w:r>
        <w:rPr>
          <w:b w:val="1"/>
          <w:bCs w:val="1"/>
          <w:rtl w:val="0"/>
          <w:lang w:val="fr-FR"/>
        </w:rPr>
        <w:t>Engagement Letter</w:t>
      </w:r>
    </w:p>
    <w:p>
      <w:pPr>
        <w:pStyle w:val="Body A"/>
        <w:spacing w:line="288" w:lineRule="auto"/>
      </w:pPr>
    </w:p>
    <w:p>
      <w:pPr>
        <w:pStyle w:val="Body A"/>
        <w:spacing w:line="288" w:lineRule="auto"/>
        <w:rPr>
          <w:b w:val="1"/>
          <w:bCs w:val="1"/>
        </w:rPr>
      </w:pPr>
      <w:r>
        <w:rPr>
          <w:rtl w:val="0"/>
          <w:lang w:val="da-DK"/>
        </w:rPr>
        <w:t>Private</w:t>
      </w:r>
      <w:r>
        <w:rPr>
          <w:rtl w:val="0"/>
          <w:lang w:val="en-US"/>
        </w:rPr>
        <w:t xml:space="preserve"> and Confidential</w:t>
      </w:r>
    </w:p>
    <w:p>
      <w:pPr>
        <w:pStyle w:val="Body A"/>
        <w:spacing w:line="288" w:lineRule="auto"/>
      </w:pPr>
    </w:p>
    <w:p>
      <w:pPr>
        <w:pStyle w:val="Body A"/>
        <w:spacing w:line="288" w:lineRule="auto"/>
        <w:rPr>
          <w:i w:val="1"/>
          <w:iCs w:val="1"/>
          <w:lang w:val="de-DE"/>
        </w:rPr>
      </w:pPr>
      <w:r>
        <w:rPr>
          <w:i w:val="1"/>
          <w:iCs w:val="1"/>
          <w:rtl w:val="0"/>
          <w:lang w:val="de-DE"/>
        </w:rPr>
        <w:t>Date: [Insert Date]</w:t>
      </w:r>
    </w:p>
    <w:p>
      <w:pPr>
        <w:pStyle w:val="Body A"/>
        <w:spacing w:line="288" w:lineRule="auto"/>
        <w:rPr>
          <w:i w:val="1"/>
          <w:iCs w:val="1"/>
          <w:lang w:val="en-US"/>
        </w:rPr>
      </w:pPr>
      <w:r>
        <w:rPr>
          <w:i w:val="1"/>
          <w:iCs w:val="1"/>
          <w:rtl w:val="0"/>
          <w:lang w:val="en-US"/>
        </w:rPr>
        <w:t>Client: [Insert Client Name]</w:t>
      </w:r>
    </w:p>
    <w:p>
      <w:pPr>
        <w:pStyle w:val="Body A"/>
        <w:spacing w:line="288" w:lineRule="auto"/>
        <w:rPr>
          <w:i w:val="1"/>
          <w:iCs w:val="1"/>
          <w:lang w:val="en-US"/>
        </w:rPr>
      </w:pPr>
      <w:r>
        <w:rPr>
          <w:i w:val="1"/>
          <w:iCs w:val="1"/>
          <w:rtl w:val="0"/>
          <w:lang w:val="en-US"/>
        </w:rPr>
        <w:t>Client address:</w:t>
      </w:r>
    </w:p>
    <w:p>
      <w:pPr>
        <w:pStyle w:val="Body A"/>
        <w:spacing w:line="288" w:lineRule="auto"/>
        <w:rPr>
          <w:i w:val="1"/>
          <w:iCs w:val="1"/>
          <w:lang w:val="en-US"/>
        </w:rPr>
      </w:pPr>
      <w:r>
        <w:rPr>
          <w:i w:val="1"/>
          <w:iCs w:val="1"/>
          <w:rtl w:val="0"/>
          <w:lang w:val="en-US"/>
        </w:rPr>
        <w:t xml:space="preserve">Client email: </w:t>
      </w:r>
    </w:p>
    <w:p>
      <w:pPr>
        <w:pStyle w:val="Body A"/>
        <w:spacing w:line="288" w:lineRule="auto"/>
        <w:rPr>
          <w:i w:val="1"/>
          <w:iCs w:val="1"/>
          <w:lang w:val="en-US"/>
        </w:rPr>
      </w:pPr>
      <w:r>
        <w:rPr>
          <w:i w:val="1"/>
          <w:iCs w:val="1"/>
          <w:rtl w:val="0"/>
          <w:lang w:val="en-US"/>
        </w:rPr>
        <w:t>Client contact number:</w:t>
      </w:r>
    </w:p>
    <w:p>
      <w:pPr>
        <w:pStyle w:val="Body A"/>
        <w:spacing w:line="288" w:lineRule="auto"/>
        <w:rPr>
          <w:i w:val="1"/>
          <w:iCs w:val="1"/>
          <w:lang w:val="en-US"/>
        </w:rPr>
      </w:pPr>
      <w:r>
        <w:rPr>
          <w:i w:val="1"/>
          <w:iCs w:val="1"/>
          <w:rtl w:val="0"/>
          <w:lang w:val="en-US"/>
        </w:rPr>
        <w:t>Matter Reference: [Insert Reference]</w:t>
      </w:r>
    </w:p>
    <w:p>
      <w:pPr>
        <w:pStyle w:val="Body A"/>
        <w:spacing w:line="288" w:lineRule="auto"/>
        <w:rPr>
          <w:i w:val="1"/>
          <w:iCs w:val="1"/>
          <w:lang w:val="en-US"/>
        </w:rPr>
      </w:pPr>
      <w:r>
        <w:rPr>
          <w:i w:val="1"/>
          <w:iCs w:val="1"/>
          <w:rtl w:val="0"/>
          <w:lang w:val="en-US"/>
        </w:rPr>
        <w:t>Matter: [Insert Matter Description]</w:t>
      </w:r>
    </w:p>
    <w:p>
      <w:pPr>
        <w:pStyle w:val="Body A"/>
        <w:spacing w:line="288" w:lineRule="auto"/>
      </w:pPr>
    </w:p>
    <w:p>
      <w:pPr>
        <w:pStyle w:val="Body A"/>
        <w:spacing w:line="288" w:lineRule="auto"/>
        <w:rPr>
          <w:i w:val="1"/>
          <w:iCs w:val="1"/>
        </w:rPr>
      </w:pPr>
    </w:p>
    <w:p>
      <w:pPr>
        <w:pStyle w:val="Body A"/>
        <w:spacing w:line="288" w:lineRule="auto"/>
        <w:rPr>
          <w:i w:val="1"/>
          <w:iCs w:val="1"/>
          <w:lang w:val="en-US"/>
        </w:rPr>
      </w:pPr>
      <w:r>
        <w:rPr>
          <w:i w:val="1"/>
          <w:iCs w:val="1"/>
          <w:rtl w:val="0"/>
          <w:lang w:val="en-US"/>
        </w:rPr>
        <w:t>Dear [Client Name]</w:t>
      </w:r>
    </w:p>
    <w:p>
      <w:pPr>
        <w:pStyle w:val="Body A"/>
        <w:spacing w:line="288" w:lineRule="auto"/>
      </w:pPr>
    </w:p>
    <w:p>
      <w:pPr>
        <w:pStyle w:val="Body A"/>
        <w:spacing w:line="288" w:lineRule="auto"/>
        <w:rPr>
          <w:i w:val="1"/>
          <w:iCs w:val="1"/>
          <w:lang w:val="en-US"/>
        </w:rPr>
      </w:pPr>
      <w:r>
        <w:rPr>
          <w:i w:val="1"/>
          <w:iCs w:val="1"/>
          <w:rtl w:val="0"/>
          <w:lang w:val="en-US"/>
        </w:rPr>
        <w:t>Re: [Matter Description]</w:t>
      </w:r>
    </w:p>
    <w:p>
      <w:pPr>
        <w:pStyle w:val="Body A"/>
        <w:spacing w:line="288" w:lineRule="auto"/>
      </w:pPr>
    </w:p>
    <w:p>
      <w:pPr>
        <w:pStyle w:val="Body A"/>
        <w:spacing w:line="288" w:lineRule="auto"/>
      </w:pPr>
      <w:r>
        <w:rPr>
          <w:rtl w:val="0"/>
          <w:lang w:val="en-US"/>
        </w:rPr>
        <w:t>Thank you for instructing Hayhills Limited trading as Hayhills Legal Advisory (</w:t>
      </w:r>
      <w:r>
        <w:rPr>
          <w:rFonts w:ascii="Arial Unicode MS" w:hAnsi="Arial Unicode MS" w:hint="default"/>
          <w:rtl w:val="1"/>
          <w:lang w:val="ar-SA" w:bidi="ar-SA"/>
        </w:rPr>
        <w:t>“</w:t>
      </w:r>
      <w:r>
        <w:rPr>
          <w:rtl w:val="0"/>
          <w:lang w:val="da-DK"/>
        </w:rPr>
        <w:t>Hayhills</w:t>
      </w:r>
      <w:r>
        <w:rPr>
          <w:rtl w:val="0"/>
          <w:lang w:val="da-DK"/>
        </w:rPr>
        <w:t>”</w:t>
      </w:r>
      <w:r>
        <w:rPr>
          <w:rtl w:val="0"/>
          <w:lang w:val="en-US"/>
        </w:rPr>
        <w:t>) in connection with the above matter.</w:t>
      </w:r>
    </w:p>
    <w:p>
      <w:pPr>
        <w:pStyle w:val="Body A"/>
        <w:spacing w:line="288" w:lineRule="auto"/>
      </w:pPr>
    </w:p>
    <w:p>
      <w:pPr>
        <w:pStyle w:val="Body A"/>
        <w:spacing w:line="288" w:lineRule="auto"/>
        <w:rPr>
          <w:lang w:val="en-US"/>
        </w:rPr>
      </w:pPr>
      <w:r>
        <w:rPr>
          <w:rtl w:val="0"/>
          <w:lang w:val="en-US"/>
        </w:rPr>
        <w:t>This Engagement Letter sets out the basis upon which Hayhills agrees to provide advisory services to you, including:</w:t>
      </w:r>
    </w:p>
    <w:p>
      <w:pPr>
        <w:pStyle w:val="Body A"/>
        <w:spacing w:line="288" w:lineRule="auto"/>
      </w:pPr>
    </w:p>
    <w:p>
      <w:pPr>
        <w:pStyle w:val="Body A"/>
        <w:spacing w:line="288" w:lineRule="auto"/>
        <w:rPr>
          <w:lang w:val="en-US"/>
        </w:rPr>
      </w:pPr>
      <w:r>
        <w:rPr>
          <w:rtl w:val="0"/>
          <w:lang w:val="en-US"/>
        </w:rPr>
        <w:t>* the scope of our engagement;</w:t>
      </w:r>
    </w:p>
    <w:p>
      <w:pPr>
        <w:pStyle w:val="Body A"/>
        <w:spacing w:line="288" w:lineRule="auto"/>
        <w:rPr>
          <w:lang w:val="en-US"/>
        </w:rPr>
      </w:pPr>
      <w:r>
        <w:rPr>
          <w:rtl w:val="0"/>
          <w:lang w:val="en-US"/>
        </w:rPr>
        <w:t>* the basis upon which services will be provided;</w:t>
      </w:r>
    </w:p>
    <w:p>
      <w:pPr>
        <w:pStyle w:val="Body A"/>
        <w:spacing w:line="288" w:lineRule="auto"/>
        <w:rPr>
          <w:lang w:val="en-US"/>
        </w:rPr>
      </w:pPr>
      <w:r>
        <w:rPr>
          <w:rtl w:val="0"/>
          <w:lang w:val="en-US"/>
        </w:rPr>
        <w:t>* fee arrangements and payment structure;</w:t>
      </w:r>
    </w:p>
    <w:p>
      <w:pPr>
        <w:pStyle w:val="Body A"/>
        <w:spacing w:line="288" w:lineRule="auto"/>
        <w:rPr>
          <w:lang w:val="en-US"/>
        </w:rPr>
      </w:pPr>
      <w:r>
        <w:rPr>
          <w:rtl w:val="0"/>
          <w:lang w:val="en-US"/>
        </w:rPr>
        <w:t>* and important regulatory and commercial terms relevant to your matter.</w:t>
      </w:r>
    </w:p>
    <w:p>
      <w:pPr>
        <w:pStyle w:val="Body A"/>
        <w:spacing w:line="288" w:lineRule="auto"/>
      </w:pPr>
    </w:p>
    <w:p>
      <w:pPr>
        <w:pStyle w:val="Body A"/>
        <w:spacing w:line="288" w:lineRule="auto"/>
      </w:pPr>
      <w:r>
        <w:rPr>
          <w:rtl w:val="0"/>
          <w:lang w:val="en-US"/>
        </w:rPr>
        <w:t>This Engagement Letter should be read together with Hayhills</w:t>
      </w:r>
      <w:r>
        <w:rPr>
          <w:rFonts w:ascii="Arial Unicode MS" w:hAnsi="Arial Unicode MS" w:hint="default"/>
          <w:rtl w:val="1"/>
          <w:lang w:val="ar-SA" w:bidi="ar-SA"/>
        </w:rPr>
        <w:t>’</w:t>
      </w:r>
      <w:r>
        <w:rPr>
          <w:rtl w:val="0"/>
          <w:lang w:val="da-DK"/>
        </w:rPr>
        <w:t>:</w:t>
      </w:r>
    </w:p>
    <w:p>
      <w:pPr>
        <w:pStyle w:val="Body A"/>
        <w:spacing w:line="288" w:lineRule="auto"/>
      </w:pPr>
    </w:p>
    <w:p>
      <w:pPr>
        <w:pStyle w:val="Body A"/>
        <w:spacing w:line="288" w:lineRule="auto"/>
        <w:rPr>
          <w:lang w:val="en-US"/>
        </w:rPr>
      </w:pPr>
      <w:r>
        <w:rPr>
          <w:rtl w:val="0"/>
          <w:lang w:val="en-US"/>
        </w:rPr>
        <w:t>General Terms of Advisory Engagement</w:t>
      </w:r>
    </w:p>
    <w:p>
      <w:pPr>
        <w:pStyle w:val="Body A"/>
        <w:spacing w:line="288" w:lineRule="auto"/>
      </w:pPr>
    </w:p>
    <w:p>
      <w:pPr>
        <w:pStyle w:val="Body A"/>
        <w:spacing w:line="288" w:lineRule="auto"/>
        <w:rPr>
          <w:lang w:val="en-US"/>
        </w:rPr>
      </w:pPr>
      <w:r>
        <w:rPr>
          <w:rtl w:val="0"/>
          <w:lang w:val="en-US"/>
        </w:rPr>
        <w:t>which form part of our agreement with you.</w:t>
      </w:r>
    </w:p>
    <w:p>
      <w:pPr>
        <w:pStyle w:val="Body A"/>
        <w:spacing w:line="288" w:lineRule="auto"/>
      </w:pPr>
    </w:p>
    <w:p>
      <w:pPr>
        <w:pStyle w:val="Body A"/>
        <w:spacing w:line="288" w:lineRule="auto"/>
        <w:rPr>
          <w:lang w:val="en-US"/>
        </w:rPr>
      </w:pPr>
      <w:r>
        <w:rPr>
          <w:rtl w:val="0"/>
          <w:lang w:val="en-US"/>
        </w:rPr>
        <w:t>Unless otherwise expressly agreed in writing, these documents together constitute the entire agreement between Hayhills and the client in relation to this matter.</w:t>
      </w:r>
    </w:p>
    <w:p>
      <w:pPr>
        <w:pStyle w:val="Body A"/>
        <w:spacing w:line="288" w:lineRule="auto"/>
      </w:pPr>
    </w:p>
    <w:p>
      <w:pPr>
        <w:pStyle w:val="Body A"/>
        <w:spacing w:line="288" w:lineRule="auto"/>
        <w:rPr>
          <w:lang w:val="en-US"/>
        </w:rPr>
      </w:pPr>
      <w:r>
        <w:rPr>
          <w:rtl w:val="0"/>
          <w:lang w:val="en-US"/>
        </w:rPr>
        <w:t>Please read this letter carefully and contact us immediately if anything is unclear or inconsistent with your understanding of the engagement.</w:t>
      </w:r>
    </w:p>
    <w:p>
      <w:pPr>
        <w:pStyle w:val="Body A"/>
        <w:spacing w:line="288" w:lineRule="auto"/>
      </w:pPr>
    </w:p>
    <w:p>
      <w:pPr>
        <w:pStyle w:val="Body A"/>
        <w:spacing w:line="288" w:lineRule="auto"/>
        <w:rPr>
          <w:lang w:val="en-US"/>
        </w:rPr>
      </w:pPr>
    </w:p>
    <w:p>
      <w:pPr>
        <w:pStyle w:val="Body A"/>
        <w:spacing w:line="288" w:lineRule="auto"/>
        <w:rPr>
          <w:lang w:val="en-US"/>
        </w:rPr>
      </w:pPr>
    </w:p>
    <w:p>
      <w:pPr>
        <w:pStyle w:val="Body A"/>
        <w:spacing w:line="288" w:lineRule="auto"/>
        <w:rPr>
          <w:lang w:val="en-US"/>
        </w:rPr>
      </w:pPr>
    </w:p>
    <w:p>
      <w:pPr>
        <w:pStyle w:val="Body A"/>
        <w:numPr>
          <w:ilvl w:val="0"/>
          <w:numId w:val="2"/>
        </w:numPr>
        <w:spacing w:line="288" w:lineRule="auto"/>
        <w:rPr>
          <w:lang w:val="en-US"/>
        </w:rPr>
      </w:pPr>
      <w:r>
        <w:rPr>
          <w:b w:val="1"/>
          <w:bCs w:val="1"/>
          <w:rtl w:val="0"/>
          <w:lang w:val="en-US"/>
        </w:rPr>
        <w:t>Important Regulatory Position</w:t>
      </w:r>
    </w:p>
    <w:p>
      <w:pPr>
        <w:pStyle w:val="Body A"/>
        <w:spacing w:line="288" w:lineRule="auto"/>
        <w:rPr>
          <w:lang w:val="en-US"/>
        </w:rPr>
      </w:pPr>
    </w:p>
    <w:p>
      <w:pPr>
        <w:pStyle w:val="Body A"/>
        <w:spacing w:line="288" w:lineRule="auto"/>
      </w:pPr>
      <w:r>
        <w:rPr>
          <w:rtl w:val="0"/>
          <w:lang w:val="en-US"/>
        </w:rPr>
        <w:t>Hayhills L</w:t>
      </w:r>
      <w:r>
        <w:rPr>
          <w:rtl w:val="0"/>
          <w:lang w:val="en-US"/>
        </w:rPr>
        <w:t>imited</w:t>
      </w:r>
      <w:r>
        <w:rPr>
          <w:rtl w:val="0"/>
          <w:lang w:val="en-US"/>
        </w:rPr>
        <w:t xml:space="preserve"> trading as Hayhills Legal Advisory (</w:t>
      </w:r>
      <w:r>
        <w:rPr>
          <w:rFonts w:ascii="Arial Unicode MS" w:hAnsi="Arial Unicode MS" w:hint="default"/>
          <w:rtl w:val="1"/>
          <w:lang w:val="ar-SA" w:bidi="ar-SA"/>
        </w:rPr>
        <w:t>“</w:t>
      </w:r>
      <w:r>
        <w:rPr>
          <w:rtl w:val="0"/>
          <w:lang w:val="da-DK"/>
        </w:rPr>
        <w:t>Hayhills</w:t>
      </w:r>
      <w:r>
        <w:rPr>
          <w:rtl w:val="0"/>
          <w:lang w:val="da-DK"/>
        </w:rPr>
        <w:t>”</w:t>
      </w:r>
      <w:r>
        <w:rPr>
          <w:rtl w:val="0"/>
          <w:lang w:val="da-DK"/>
        </w:rPr>
        <w:t xml:space="preserve">, </w:t>
      </w:r>
      <w:r>
        <w:rPr>
          <w:rFonts w:ascii="Arial Unicode MS" w:hAnsi="Arial Unicode MS" w:hint="default"/>
          <w:rtl w:val="1"/>
          <w:lang w:val="ar-SA" w:bidi="ar-SA"/>
        </w:rPr>
        <w:t>“</w:t>
      </w:r>
      <w:r>
        <w:rPr>
          <w:rtl w:val="0"/>
          <w:lang w:val="en-US"/>
        </w:rPr>
        <w:t>we</w:t>
      </w:r>
      <w:r>
        <w:rPr>
          <w:rtl w:val="0"/>
          <w:lang w:val="da-DK"/>
        </w:rPr>
        <w:t>”</w:t>
      </w:r>
      <w:r>
        <w:rPr>
          <w:rtl w:val="0"/>
          <w:lang w:val="da-DK"/>
        </w:rPr>
        <w:t xml:space="preserve">, </w:t>
      </w:r>
      <w:r>
        <w:rPr>
          <w:rFonts w:ascii="Arial Unicode MS" w:hAnsi="Arial Unicode MS" w:hint="default"/>
          <w:rtl w:val="1"/>
          <w:lang w:val="ar-SA" w:bidi="ar-SA"/>
        </w:rPr>
        <w:t>“</w:t>
      </w:r>
      <w:r>
        <w:rPr>
          <w:rtl w:val="0"/>
          <w:lang w:val="fr-FR"/>
        </w:rPr>
        <w:t>our</w:t>
      </w:r>
      <w:r>
        <w:rPr>
          <w:rtl w:val="0"/>
          <w:lang w:val="da-DK"/>
        </w:rPr>
        <w:t xml:space="preserve">” </w:t>
      </w:r>
      <w:r>
        <w:rPr>
          <w:rtl w:val="0"/>
          <w:lang w:val="da-DK"/>
        </w:rPr>
        <w:t xml:space="preserve">or </w:t>
      </w:r>
      <w:r>
        <w:rPr>
          <w:rFonts w:ascii="Arial Unicode MS" w:hAnsi="Arial Unicode MS" w:hint="default"/>
          <w:rtl w:val="1"/>
          <w:lang w:val="ar-SA" w:bidi="ar-SA"/>
        </w:rPr>
        <w:t>“</w:t>
      </w:r>
      <w:r>
        <w:rPr>
          <w:rtl w:val="0"/>
          <w:lang w:val="da-DK"/>
        </w:rPr>
        <w:t>us</w:t>
      </w:r>
      <w:r>
        <w:rPr>
          <w:rtl w:val="0"/>
          <w:lang w:val="da-DK"/>
        </w:rPr>
        <w:t>”</w:t>
      </w:r>
      <w:r>
        <w:rPr>
          <w:rtl w:val="0"/>
          <w:lang w:val="en-US"/>
        </w:rPr>
        <w:t>) is a commercial legal advisory consultancy providing non-reserved legal advisory services only.</w:t>
      </w:r>
    </w:p>
    <w:p>
      <w:pPr>
        <w:pStyle w:val="Body A"/>
        <w:spacing w:line="288" w:lineRule="auto"/>
      </w:pPr>
    </w:p>
    <w:p>
      <w:pPr>
        <w:pStyle w:val="Body A"/>
        <w:spacing w:line="288" w:lineRule="auto"/>
      </w:pPr>
      <w:r>
        <w:rPr>
          <w:rtl w:val="0"/>
          <w:lang w:val="en-US"/>
        </w:rPr>
        <w:t>Hayhills is not a firm of solicitors, is not authorised or regulated by the Solicitors Regulation Authority (</w:t>
      </w:r>
      <w:r>
        <w:rPr>
          <w:rFonts w:ascii="Arial Unicode MS" w:hAnsi="Arial Unicode MS" w:hint="default"/>
          <w:rtl w:val="1"/>
          <w:lang w:val="ar-SA" w:bidi="ar-SA"/>
        </w:rPr>
        <w:t>“</w:t>
      </w:r>
      <w:r>
        <w:rPr>
          <w:rtl w:val="0"/>
          <w:lang w:val="da-DK"/>
        </w:rPr>
        <w:t>SRA</w:t>
      </w:r>
      <w:r>
        <w:rPr>
          <w:rtl w:val="0"/>
          <w:lang w:val="da-DK"/>
        </w:rPr>
        <w:t>”</w:t>
      </w:r>
      <w:r>
        <w:rPr>
          <w:rtl w:val="0"/>
          <w:lang w:val="en-US"/>
        </w:rPr>
        <w:t>), and is not an authorised legal practice.</w:t>
      </w:r>
    </w:p>
    <w:p>
      <w:pPr>
        <w:pStyle w:val="Body A"/>
        <w:spacing w:line="288" w:lineRule="auto"/>
      </w:pPr>
    </w:p>
    <w:p>
      <w:pPr>
        <w:pStyle w:val="Body A"/>
        <w:spacing w:line="288" w:lineRule="auto"/>
        <w:rPr>
          <w:lang w:val="en-US"/>
        </w:rPr>
      </w:pPr>
      <w:r>
        <w:rPr>
          <w:rtl w:val="0"/>
          <w:lang w:val="en-US"/>
        </w:rPr>
        <w:t>Hayhills does not undertake reserved legal activities within the meaning of the Legal Services Act 2007, including:</w:t>
      </w:r>
    </w:p>
    <w:p>
      <w:pPr>
        <w:pStyle w:val="Body A"/>
        <w:spacing w:line="288" w:lineRule="auto"/>
      </w:pPr>
    </w:p>
    <w:p>
      <w:pPr>
        <w:pStyle w:val="Body A"/>
        <w:spacing w:line="288" w:lineRule="auto"/>
        <w:rPr>
          <w:lang w:val="en-US"/>
        </w:rPr>
      </w:pPr>
      <w:r>
        <w:rPr>
          <w:rtl w:val="0"/>
          <w:lang w:val="en-US"/>
        </w:rPr>
        <w:t>* the conduct of litigation;</w:t>
      </w:r>
    </w:p>
    <w:p>
      <w:pPr>
        <w:pStyle w:val="Body A"/>
        <w:spacing w:line="288" w:lineRule="auto"/>
        <w:rPr>
          <w:lang w:val="en-US"/>
        </w:rPr>
      </w:pPr>
      <w:r>
        <w:rPr>
          <w:rtl w:val="0"/>
          <w:lang w:val="en-US"/>
        </w:rPr>
        <w:t>* the exercise of rights of audience;</w:t>
      </w:r>
    </w:p>
    <w:p>
      <w:pPr>
        <w:pStyle w:val="Body A"/>
        <w:spacing w:line="288" w:lineRule="auto"/>
        <w:rPr>
          <w:lang w:val="en-US"/>
        </w:rPr>
      </w:pPr>
      <w:r>
        <w:rPr>
          <w:rtl w:val="0"/>
          <w:lang w:val="en-US"/>
        </w:rPr>
        <w:t>* reserved instrument activities including conveyancing;</w:t>
      </w:r>
    </w:p>
    <w:p>
      <w:pPr>
        <w:pStyle w:val="Body A"/>
        <w:spacing w:line="288" w:lineRule="auto"/>
        <w:rPr>
          <w:lang w:val="en-US"/>
        </w:rPr>
      </w:pPr>
      <w:r>
        <w:rPr>
          <w:rtl w:val="0"/>
          <w:lang w:val="en-US"/>
        </w:rPr>
        <w:t>* probate activities;</w:t>
      </w:r>
    </w:p>
    <w:p>
      <w:pPr>
        <w:pStyle w:val="Body A"/>
        <w:spacing w:line="288" w:lineRule="auto"/>
        <w:rPr>
          <w:lang w:val="en-US"/>
        </w:rPr>
      </w:pPr>
      <w:r>
        <w:rPr>
          <w:rtl w:val="0"/>
          <w:lang w:val="en-US"/>
        </w:rPr>
        <w:t>* notarial activities;</w:t>
      </w:r>
    </w:p>
    <w:p>
      <w:pPr>
        <w:pStyle w:val="Body A"/>
        <w:spacing w:line="288" w:lineRule="auto"/>
        <w:rPr>
          <w:lang w:val="en-US"/>
        </w:rPr>
      </w:pPr>
      <w:r>
        <w:rPr>
          <w:rtl w:val="0"/>
          <w:lang w:val="en-US"/>
        </w:rPr>
        <w:t>* administration of oaths;</w:t>
      </w:r>
    </w:p>
    <w:p>
      <w:pPr>
        <w:pStyle w:val="Body A"/>
        <w:spacing w:line="288" w:lineRule="auto"/>
        <w:rPr>
          <w:lang w:val="en-US"/>
        </w:rPr>
      </w:pPr>
      <w:r>
        <w:rPr>
          <w:rtl w:val="0"/>
          <w:lang w:val="en-US"/>
        </w:rPr>
        <w:t>* or immigration advice or services requiring authorisation.</w:t>
      </w:r>
    </w:p>
    <w:p>
      <w:pPr>
        <w:pStyle w:val="Body A"/>
        <w:spacing w:line="288" w:lineRule="auto"/>
      </w:pPr>
    </w:p>
    <w:p>
      <w:pPr>
        <w:pStyle w:val="Body A"/>
        <w:spacing w:line="288" w:lineRule="auto"/>
        <w:rPr>
          <w:lang w:val="en-US"/>
        </w:rPr>
      </w:pPr>
      <w:r>
        <w:rPr>
          <w:rtl w:val="0"/>
          <w:lang w:val="en-US"/>
        </w:rPr>
        <w:t>Any references to:</w:t>
      </w:r>
    </w:p>
    <w:p>
      <w:pPr>
        <w:pStyle w:val="Body A"/>
        <w:spacing w:line="288" w:lineRule="auto"/>
      </w:pPr>
    </w:p>
    <w:p>
      <w:pPr>
        <w:pStyle w:val="Body A"/>
        <w:spacing w:line="288" w:lineRule="auto"/>
        <w:rPr>
          <w:lang w:val="en-US"/>
        </w:rPr>
      </w:pPr>
      <w:r>
        <w:rPr>
          <w:rtl w:val="0"/>
          <w:lang w:val="en-US"/>
        </w:rPr>
        <w:t>* legal advisory;</w:t>
      </w:r>
    </w:p>
    <w:p>
      <w:pPr>
        <w:pStyle w:val="Body A"/>
        <w:spacing w:line="288" w:lineRule="auto"/>
        <w:rPr>
          <w:lang w:val="en-US"/>
        </w:rPr>
      </w:pPr>
      <w:r>
        <w:rPr>
          <w:rtl w:val="0"/>
          <w:lang w:val="en-US"/>
        </w:rPr>
        <w:t>* legal consultancy;</w:t>
      </w:r>
    </w:p>
    <w:p>
      <w:pPr>
        <w:pStyle w:val="Body A"/>
        <w:spacing w:line="288" w:lineRule="auto"/>
        <w:rPr>
          <w:lang w:val="en-US"/>
        </w:rPr>
      </w:pPr>
      <w:r>
        <w:rPr>
          <w:rtl w:val="0"/>
          <w:lang w:val="en-US"/>
        </w:rPr>
        <w:t>* legal support;</w:t>
      </w:r>
    </w:p>
    <w:p>
      <w:pPr>
        <w:pStyle w:val="Body A"/>
        <w:spacing w:line="288" w:lineRule="auto"/>
        <w:rPr>
          <w:lang w:val="en-US"/>
        </w:rPr>
      </w:pPr>
      <w:r>
        <w:rPr>
          <w:rtl w:val="0"/>
          <w:lang w:val="en-US"/>
        </w:rPr>
        <w:t>* legal adviser;</w:t>
      </w:r>
    </w:p>
    <w:p>
      <w:pPr>
        <w:pStyle w:val="Body A"/>
        <w:spacing w:line="288" w:lineRule="auto"/>
        <w:rPr>
          <w:lang w:val="pt-PT"/>
        </w:rPr>
      </w:pPr>
      <w:r>
        <w:rPr>
          <w:rtl w:val="0"/>
          <w:lang w:val="pt-PT"/>
        </w:rPr>
        <w:t>* consultant;</w:t>
      </w:r>
    </w:p>
    <w:p>
      <w:pPr>
        <w:pStyle w:val="Body A"/>
        <w:spacing w:line="288" w:lineRule="auto"/>
        <w:rPr>
          <w:lang w:val="en-US"/>
        </w:rPr>
      </w:pPr>
      <w:r>
        <w:rPr>
          <w:rtl w:val="0"/>
          <w:lang w:val="en-US"/>
        </w:rPr>
        <w:t>* or similar terminology,</w:t>
      </w:r>
    </w:p>
    <w:p>
      <w:pPr>
        <w:pStyle w:val="Body A"/>
        <w:spacing w:line="288" w:lineRule="auto"/>
      </w:pPr>
    </w:p>
    <w:p>
      <w:pPr>
        <w:pStyle w:val="Body A"/>
        <w:spacing w:line="288" w:lineRule="auto"/>
        <w:rPr>
          <w:lang w:val="en-US"/>
        </w:rPr>
      </w:pPr>
      <w:r>
        <w:rPr>
          <w:rtl w:val="0"/>
          <w:lang w:val="en-US"/>
        </w:rPr>
        <w:t>refer solely to non-reserved legal advisory services.</w:t>
      </w:r>
    </w:p>
    <w:p>
      <w:pPr>
        <w:pStyle w:val="Body A"/>
        <w:spacing w:line="288" w:lineRule="auto"/>
      </w:pPr>
    </w:p>
    <w:p>
      <w:pPr>
        <w:pStyle w:val="Body A"/>
        <w:spacing w:line="288" w:lineRule="auto"/>
        <w:rPr>
          <w:lang w:val="en-US"/>
        </w:rPr>
      </w:pPr>
      <w:r>
        <w:rPr>
          <w:rtl w:val="0"/>
          <w:lang w:val="en-US"/>
        </w:rPr>
        <w:t>Where a matter requires regulated legal services, court proceedings, specialist representation or reserved legal activities, clients remain free to instruct their own solicitors or regulated professionals. If requested, Hayhills may assist with introductions or referrals to appropriately authorised professionals.</w:t>
      </w:r>
    </w:p>
    <w:p>
      <w:pPr>
        <w:pStyle w:val="Body A"/>
        <w:spacing w:line="288" w:lineRule="auto"/>
      </w:pPr>
    </w:p>
    <w:p>
      <w:pPr>
        <w:pStyle w:val="Body A"/>
        <w:spacing w:line="288" w:lineRule="auto"/>
        <w:rPr>
          <w:b w:val="1"/>
          <w:bCs w:val="1"/>
          <w:lang w:val="en-US"/>
        </w:rPr>
      </w:pPr>
      <w:r>
        <w:rPr>
          <w:b w:val="1"/>
          <w:bCs w:val="1"/>
          <w:rtl w:val="0"/>
          <w:lang w:val="en-US"/>
        </w:rPr>
        <w:t>2. Scope of Instructions</w:t>
      </w:r>
    </w:p>
    <w:p>
      <w:pPr>
        <w:pStyle w:val="Body A"/>
        <w:spacing w:line="288" w:lineRule="auto"/>
      </w:pPr>
    </w:p>
    <w:p>
      <w:pPr>
        <w:pStyle w:val="Body A"/>
        <w:spacing w:line="288" w:lineRule="auto"/>
        <w:rPr>
          <w:lang w:val="en-US"/>
        </w:rPr>
      </w:pPr>
      <w:r>
        <w:rPr>
          <w:rtl w:val="0"/>
          <w:lang w:val="en-US"/>
        </w:rPr>
        <w:t>You have instructed Hayhills in connection with the following matter:</w:t>
      </w:r>
    </w:p>
    <w:p>
      <w:pPr>
        <w:pStyle w:val="Body A"/>
        <w:spacing w:line="288" w:lineRule="auto"/>
        <w:rPr>
          <w:i w:val="1"/>
          <w:iCs w:val="1"/>
        </w:rPr>
      </w:pPr>
    </w:p>
    <w:p>
      <w:pPr>
        <w:pStyle w:val="Body A"/>
        <w:spacing w:line="288" w:lineRule="auto"/>
        <w:rPr>
          <w:i w:val="1"/>
          <w:iCs w:val="1"/>
          <w:lang w:val="en-US"/>
        </w:rPr>
      </w:pPr>
      <w:r>
        <w:rPr>
          <w:i w:val="1"/>
          <w:iCs w:val="1"/>
          <w:rtl w:val="0"/>
          <w:lang w:val="en-US"/>
        </w:rPr>
        <w:t>[Insert Scope of Matter]</w:t>
      </w:r>
    </w:p>
    <w:p>
      <w:pPr>
        <w:pStyle w:val="Body A"/>
        <w:spacing w:line="288" w:lineRule="auto"/>
      </w:pPr>
    </w:p>
    <w:p>
      <w:pPr>
        <w:pStyle w:val="Body A"/>
        <w:spacing w:line="288" w:lineRule="auto"/>
        <w:rPr>
          <w:lang w:val="en-US"/>
        </w:rPr>
      </w:pPr>
    </w:p>
    <w:p>
      <w:pPr>
        <w:pStyle w:val="Body A"/>
        <w:spacing w:line="288" w:lineRule="auto"/>
        <w:rPr>
          <w:lang w:val="en-US"/>
        </w:rPr>
      </w:pPr>
    </w:p>
    <w:p>
      <w:pPr>
        <w:pStyle w:val="Body A"/>
        <w:spacing w:line="288" w:lineRule="auto"/>
        <w:rPr>
          <w:lang w:val="en-US"/>
        </w:rPr>
      </w:pPr>
      <w:r>
        <w:rPr>
          <w:rtl w:val="0"/>
          <w:lang w:val="en-US"/>
        </w:rPr>
        <w:t>The scope of our engagement is limited strictly to the matters expressly set out above.</w:t>
      </w:r>
    </w:p>
    <w:p>
      <w:pPr>
        <w:pStyle w:val="Body A"/>
        <w:spacing w:line="288" w:lineRule="auto"/>
      </w:pPr>
    </w:p>
    <w:p>
      <w:pPr>
        <w:pStyle w:val="Body A"/>
        <w:spacing w:line="288" w:lineRule="auto"/>
        <w:rPr>
          <w:lang w:val="en-US"/>
        </w:rPr>
      </w:pPr>
      <w:r>
        <w:rPr>
          <w:rtl w:val="0"/>
          <w:lang w:val="en-US"/>
        </w:rPr>
        <w:t>Unless separately agreed in writing, Hayhills will not:</w:t>
      </w:r>
    </w:p>
    <w:p>
      <w:pPr>
        <w:pStyle w:val="Body A"/>
        <w:spacing w:line="288" w:lineRule="auto"/>
      </w:pPr>
    </w:p>
    <w:p>
      <w:pPr>
        <w:pStyle w:val="Body A"/>
        <w:spacing w:line="288" w:lineRule="auto"/>
        <w:rPr>
          <w:lang w:val="en-US"/>
        </w:rPr>
      </w:pPr>
      <w:r>
        <w:rPr>
          <w:rtl w:val="0"/>
          <w:lang w:val="en-US"/>
        </w:rPr>
        <w:t>* issue proceedings;</w:t>
      </w:r>
    </w:p>
    <w:p>
      <w:pPr>
        <w:pStyle w:val="Body A"/>
        <w:spacing w:line="288" w:lineRule="auto"/>
        <w:rPr>
          <w:lang w:val="en-US"/>
        </w:rPr>
      </w:pPr>
      <w:r>
        <w:rPr>
          <w:rtl w:val="0"/>
          <w:lang w:val="en-US"/>
        </w:rPr>
        <w:t>* conduct litigation;</w:t>
      </w:r>
    </w:p>
    <w:p>
      <w:pPr>
        <w:pStyle w:val="Body A"/>
        <w:spacing w:line="288" w:lineRule="auto"/>
        <w:rPr>
          <w:lang w:val="en-US"/>
        </w:rPr>
      </w:pPr>
      <w:r>
        <w:rPr>
          <w:rtl w:val="0"/>
          <w:lang w:val="en-US"/>
        </w:rPr>
        <w:t>* correspond with courts on the record;</w:t>
      </w:r>
    </w:p>
    <w:p>
      <w:pPr>
        <w:pStyle w:val="Body A"/>
        <w:spacing w:line="288" w:lineRule="auto"/>
        <w:rPr>
          <w:lang w:val="en-US"/>
        </w:rPr>
      </w:pPr>
      <w:r>
        <w:rPr>
          <w:rtl w:val="0"/>
          <w:lang w:val="en-US"/>
        </w:rPr>
        <w:t>* provide regulated legal representation;</w:t>
      </w:r>
    </w:p>
    <w:p>
      <w:pPr>
        <w:pStyle w:val="Body A"/>
        <w:spacing w:line="288" w:lineRule="auto"/>
        <w:rPr>
          <w:lang w:val="en-US"/>
        </w:rPr>
      </w:pPr>
      <w:r>
        <w:rPr>
          <w:rtl w:val="0"/>
          <w:lang w:val="en-US"/>
        </w:rPr>
        <w:t>* undertake reserved legal activities;</w:t>
      </w:r>
    </w:p>
    <w:p>
      <w:pPr>
        <w:pStyle w:val="Body A"/>
        <w:spacing w:line="288" w:lineRule="auto"/>
        <w:rPr>
          <w:lang w:val="en-US"/>
        </w:rPr>
      </w:pPr>
      <w:r>
        <w:rPr>
          <w:rtl w:val="0"/>
          <w:lang w:val="en-US"/>
        </w:rPr>
        <w:t>* or advise outside the agreed scope.</w:t>
      </w:r>
    </w:p>
    <w:p>
      <w:pPr>
        <w:pStyle w:val="Body A"/>
        <w:spacing w:line="288" w:lineRule="auto"/>
      </w:pPr>
    </w:p>
    <w:p>
      <w:pPr>
        <w:pStyle w:val="Body A"/>
        <w:spacing w:line="288" w:lineRule="auto"/>
        <w:rPr>
          <w:lang w:val="en-US"/>
        </w:rPr>
      </w:pPr>
      <w:r>
        <w:rPr>
          <w:rtl w:val="0"/>
          <w:lang w:val="en-US"/>
        </w:rPr>
        <w:t>Any expanded instructions, materially changed circumstances or additional work may require:</w:t>
      </w:r>
    </w:p>
    <w:p>
      <w:pPr>
        <w:pStyle w:val="Body A"/>
        <w:spacing w:line="288" w:lineRule="auto"/>
      </w:pPr>
    </w:p>
    <w:p>
      <w:pPr>
        <w:pStyle w:val="Body A"/>
        <w:spacing w:line="288" w:lineRule="auto"/>
        <w:rPr>
          <w:lang w:val="en-US"/>
        </w:rPr>
      </w:pPr>
      <w:r>
        <w:rPr>
          <w:rtl w:val="0"/>
          <w:lang w:val="en-US"/>
        </w:rPr>
        <w:t>* revised scope;</w:t>
      </w:r>
    </w:p>
    <w:p>
      <w:pPr>
        <w:pStyle w:val="Body A"/>
        <w:spacing w:line="288" w:lineRule="auto"/>
        <w:rPr>
          <w:lang w:val="en-US"/>
        </w:rPr>
      </w:pPr>
      <w:r>
        <w:rPr>
          <w:rtl w:val="0"/>
          <w:lang w:val="en-US"/>
        </w:rPr>
        <w:t>* revised fees;</w:t>
      </w:r>
    </w:p>
    <w:p>
      <w:pPr>
        <w:pStyle w:val="Body A"/>
        <w:spacing w:line="288" w:lineRule="auto"/>
        <w:rPr>
          <w:lang w:val="en-US"/>
        </w:rPr>
      </w:pPr>
      <w:r>
        <w:rPr>
          <w:rtl w:val="0"/>
          <w:lang w:val="en-US"/>
        </w:rPr>
        <w:t>* further onboarding;</w:t>
      </w:r>
    </w:p>
    <w:p>
      <w:pPr>
        <w:pStyle w:val="Body A"/>
        <w:spacing w:line="288" w:lineRule="auto"/>
        <w:rPr>
          <w:lang w:val="en-US"/>
        </w:rPr>
      </w:pPr>
      <w:r>
        <w:rPr>
          <w:rtl w:val="0"/>
          <w:lang w:val="en-US"/>
        </w:rPr>
        <w:t>* additional payments on account;</w:t>
      </w:r>
    </w:p>
    <w:p>
      <w:pPr>
        <w:pStyle w:val="Body A"/>
        <w:spacing w:line="288" w:lineRule="auto"/>
        <w:rPr>
          <w:lang w:val="en-US"/>
        </w:rPr>
      </w:pPr>
      <w:r>
        <w:rPr>
          <w:rtl w:val="0"/>
          <w:lang w:val="en-US"/>
        </w:rPr>
        <w:t>* or a separate engagement.</w:t>
      </w:r>
    </w:p>
    <w:p>
      <w:pPr>
        <w:pStyle w:val="Body A"/>
        <w:spacing w:line="288" w:lineRule="auto"/>
      </w:pPr>
    </w:p>
    <w:p>
      <w:pPr>
        <w:pStyle w:val="Body A"/>
        <w:spacing w:line="288" w:lineRule="auto"/>
        <w:rPr>
          <w:lang w:val="en-US"/>
        </w:rPr>
      </w:pPr>
      <w:r>
        <w:rPr>
          <w:rtl w:val="0"/>
          <w:lang w:val="en-US"/>
        </w:rPr>
        <w:t>Hayhills reserves the right to decline instructions that fall outside:</w:t>
      </w:r>
    </w:p>
    <w:p>
      <w:pPr>
        <w:pStyle w:val="Body A"/>
        <w:spacing w:line="288" w:lineRule="auto"/>
      </w:pPr>
    </w:p>
    <w:p>
      <w:pPr>
        <w:pStyle w:val="Body A"/>
        <w:spacing w:line="288" w:lineRule="auto"/>
        <w:rPr>
          <w:lang w:val="en-US"/>
        </w:rPr>
      </w:pPr>
      <w:r>
        <w:rPr>
          <w:rtl w:val="0"/>
          <w:lang w:val="en-US"/>
        </w:rPr>
        <w:t>* the agreed scope;</w:t>
      </w:r>
    </w:p>
    <w:p>
      <w:pPr>
        <w:pStyle w:val="Body A"/>
        <w:spacing w:line="288" w:lineRule="auto"/>
        <w:rPr>
          <w:lang w:val="en-US"/>
        </w:rPr>
      </w:pPr>
      <w:r>
        <w:rPr>
          <w:rtl w:val="0"/>
          <w:lang w:val="en-US"/>
        </w:rPr>
        <w:t>* the permitted scope of non-reserved activities;</w:t>
      </w:r>
    </w:p>
    <w:p>
      <w:pPr>
        <w:pStyle w:val="Body A"/>
        <w:spacing w:line="288" w:lineRule="auto"/>
        <w:rPr>
          <w:lang w:val="en-US"/>
        </w:rPr>
      </w:pPr>
      <w:r>
        <w:rPr>
          <w:rtl w:val="0"/>
          <w:lang w:val="en-US"/>
        </w:rPr>
        <w:t>* or the commercial and professional parameters of the engagement.</w:t>
      </w:r>
    </w:p>
    <w:p>
      <w:pPr>
        <w:pStyle w:val="Body A"/>
        <w:spacing w:line="288" w:lineRule="auto"/>
      </w:pPr>
    </w:p>
    <w:p>
      <w:pPr>
        <w:pStyle w:val="Body A"/>
        <w:spacing w:line="288" w:lineRule="auto"/>
        <w:rPr>
          <w:b w:val="1"/>
          <w:bCs w:val="1"/>
          <w:lang w:val="en-US"/>
        </w:rPr>
      </w:pPr>
      <w:r>
        <w:rPr>
          <w:b w:val="1"/>
          <w:bCs w:val="1"/>
          <w:rtl w:val="0"/>
          <w:lang w:val="en-US"/>
        </w:rPr>
        <w:t>3. Nature of Advisory Services</w:t>
      </w:r>
    </w:p>
    <w:p>
      <w:pPr>
        <w:pStyle w:val="Body A"/>
        <w:spacing w:line="288" w:lineRule="auto"/>
      </w:pPr>
    </w:p>
    <w:p>
      <w:pPr>
        <w:pStyle w:val="Body A"/>
        <w:spacing w:line="288" w:lineRule="auto"/>
        <w:rPr>
          <w:lang w:val="en-US"/>
        </w:rPr>
      </w:pPr>
      <w:r>
        <w:rPr>
          <w:rtl w:val="0"/>
          <w:lang w:val="en-US"/>
        </w:rPr>
        <w:t>Hayhills provides commercially focused advisory support intended to assist clients in:</w:t>
      </w:r>
    </w:p>
    <w:p>
      <w:pPr>
        <w:pStyle w:val="Body A"/>
        <w:spacing w:line="288" w:lineRule="auto"/>
      </w:pPr>
    </w:p>
    <w:p>
      <w:pPr>
        <w:pStyle w:val="Body A"/>
        <w:spacing w:line="288" w:lineRule="auto"/>
        <w:rPr>
          <w:lang w:val="en-US"/>
        </w:rPr>
      </w:pPr>
      <w:r>
        <w:rPr>
          <w:rtl w:val="0"/>
          <w:lang w:val="en-US"/>
        </w:rPr>
        <w:t>* understanding legal and commercial issues;</w:t>
      </w:r>
    </w:p>
    <w:p>
      <w:pPr>
        <w:pStyle w:val="Body A"/>
        <w:spacing w:line="288" w:lineRule="auto"/>
        <w:rPr>
          <w:lang w:val="en-US"/>
        </w:rPr>
      </w:pPr>
      <w:r>
        <w:rPr>
          <w:rtl w:val="0"/>
          <w:lang w:val="en-US"/>
        </w:rPr>
        <w:t>* assessing risk and exposure;</w:t>
      </w:r>
    </w:p>
    <w:p>
      <w:pPr>
        <w:pStyle w:val="Body A"/>
        <w:spacing w:line="288" w:lineRule="auto"/>
        <w:rPr>
          <w:lang w:val="en-US"/>
        </w:rPr>
      </w:pPr>
      <w:r>
        <w:rPr>
          <w:rtl w:val="0"/>
          <w:lang w:val="en-US"/>
        </w:rPr>
        <w:t>* reviewing available options;</w:t>
      </w:r>
    </w:p>
    <w:p>
      <w:pPr>
        <w:pStyle w:val="Body A"/>
        <w:spacing w:line="288" w:lineRule="auto"/>
        <w:rPr>
          <w:lang w:val="en-US"/>
        </w:rPr>
      </w:pPr>
      <w:r>
        <w:rPr>
          <w:rtl w:val="0"/>
          <w:lang w:val="en-US"/>
        </w:rPr>
        <w:t>* preparing documentation and correspondence;</w:t>
      </w:r>
    </w:p>
    <w:p>
      <w:pPr>
        <w:pStyle w:val="Body A"/>
        <w:spacing w:line="288" w:lineRule="auto"/>
        <w:rPr>
          <w:lang w:val="en-US"/>
        </w:rPr>
      </w:pPr>
      <w:r>
        <w:rPr>
          <w:rtl w:val="0"/>
          <w:lang w:val="en-US"/>
        </w:rPr>
        <w:t>* supporting negotiations and commercial discussions;</w:t>
      </w:r>
    </w:p>
    <w:p>
      <w:pPr>
        <w:pStyle w:val="Body A"/>
        <w:spacing w:line="288" w:lineRule="auto"/>
        <w:rPr>
          <w:lang w:val="en-US"/>
        </w:rPr>
      </w:pPr>
      <w:r>
        <w:rPr>
          <w:rtl w:val="0"/>
          <w:lang w:val="en-US"/>
        </w:rPr>
        <w:t>* and making informed commercial decisions.</w:t>
      </w:r>
    </w:p>
    <w:p>
      <w:pPr>
        <w:pStyle w:val="Body A"/>
        <w:spacing w:line="288" w:lineRule="auto"/>
      </w:pPr>
    </w:p>
    <w:p>
      <w:pPr>
        <w:pStyle w:val="Body A"/>
        <w:spacing w:line="288" w:lineRule="auto"/>
        <w:rPr>
          <w:lang w:val="en-US"/>
        </w:rPr>
      </w:pPr>
      <w:r>
        <w:rPr>
          <w:rtl w:val="0"/>
          <w:lang w:val="en-US"/>
        </w:rPr>
        <w:t>Our role is advisory in nature and does not constitute regulated legal representation.</w:t>
      </w:r>
    </w:p>
    <w:p>
      <w:pPr>
        <w:pStyle w:val="Body A"/>
        <w:spacing w:line="288" w:lineRule="auto"/>
        <w:rPr>
          <w:lang w:val="en-US"/>
        </w:rPr>
      </w:pPr>
    </w:p>
    <w:p>
      <w:pPr>
        <w:pStyle w:val="Body A"/>
        <w:spacing w:line="288" w:lineRule="auto"/>
        <w:rPr>
          <w:lang w:val="en-US"/>
        </w:rPr>
      </w:pPr>
      <w:r>
        <w:rPr>
          <w:rtl w:val="0"/>
          <w:lang w:val="en-US"/>
        </w:rPr>
        <w:t>Any comments, drafting, strategic observations, guidance or recommendations provided by Hayhills:</w:t>
      </w:r>
    </w:p>
    <w:p>
      <w:pPr>
        <w:pStyle w:val="Body A"/>
        <w:spacing w:line="288" w:lineRule="auto"/>
      </w:pPr>
    </w:p>
    <w:p>
      <w:pPr>
        <w:pStyle w:val="Body A"/>
        <w:spacing w:line="288" w:lineRule="auto"/>
        <w:rPr>
          <w:lang w:val="en-US"/>
        </w:rPr>
      </w:pPr>
      <w:r>
        <w:rPr>
          <w:rtl w:val="0"/>
          <w:lang w:val="en-US"/>
        </w:rPr>
        <w:t>* are based upon the information available at the relevant time;</w:t>
      </w:r>
    </w:p>
    <w:p>
      <w:pPr>
        <w:pStyle w:val="Body A"/>
        <w:spacing w:line="288" w:lineRule="auto"/>
        <w:rPr>
          <w:lang w:val="en-US"/>
        </w:rPr>
      </w:pPr>
    </w:p>
    <w:p>
      <w:pPr>
        <w:pStyle w:val="Body A"/>
        <w:spacing w:line="288" w:lineRule="auto"/>
        <w:rPr>
          <w:lang w:val="en-US"/>
        </w:rPr>
      </w:pPr>
      <w:r>
        <w:rPr>
          <w:rtl w:val="0"/>
          <w:lang w:val="en-US"/>
        </w:rPr>
        <w:t>* relate solely to the instructed matter;</w:t>
      </w:r>
    </w:p>
    <w:p>
      <w:pPr>
        <w:pStyle w:val="Body A"/>
        <w:spacing w:line="288" w:lineRule="auto"/>
        <w:rPr>
          <w:lang w:val="en-US"/>
        </w:rPr>
      </w:pPr>
    </w:p>
    <w:p>
      <w:pPr>
        <w:pStyle w:val="Body A"/>
        <w:spacing w:line="288" w:lineRule="auto"/>
        <w:rPr>
          <w:lang w:val="en-US"/>
        </w:rPr>
      </w:pPr>
      <w:r>
        <w:rPr>
          <w:rtl w:val="0"/>
          <w:lang w:val="en-US"/>
        </w:rPr>
        <w:t>* and should not be relied upon outside the agreed context or by third parties without written consent.</w:t>
      </w:r>
    </w:p>
    <w:p>
      <w:pPr>
        <w:pStyle w:val="Body A"/>
        <w:spacing w:line="288" w:lineRule="auto"/>
      </w:pPr>
    </w:p>
    <w:p>
      <w:pPr>
        <w:pStyle w:val="Body A"/>
        <w:spacing w:line="288" w:lineRule="auto"/>
        <w:rPr>
          <w:lang w:val="en-US"/>
        </w:rPr>
      </w:pPr>
      <w:r>
        <w:rPr>
          <w:rtl w:val="0"/>
          <w:lang w:val="en-US"/>
        </w:rPr>
        <w:t>Commercial decisions remain the responsibility of the client.</w:t>
      </w:r>
    </w:p>
    <w:p>
      <w:pPr>
        <w:pStyle w:val="Body A"/>
        <w:spacing w:line="288" w:lineRule="auto"/>
      </w:pPr>
    </w:p>
    <w:p>
      <w:pPr>
        <w:pStyle w:val="Body A"/>
        <w:spacing w:line="288" w:lineRule="auto"/>
        <w:rPr>
          <w:b w:val="1"/>
          <w:bCs w:val="1"/>
          <w:lang w:val="en-US"/>
        </w:rPr>
      </w:pPr>
      <w:r>
        <w:rPr>
          <w:b w:val="1"/>
          <w:bCs w:val="1"/>
          <w:rtl w:val="0"/>
          <w:lang w:val="en-US"/>
        </w:rPr>
        <w:t>4. Client Contact and Instructions</w:t>
      </w:r>
    </w:p>
    <w:p>
      <w:pPr>
        <w:pStyle w:val="Body A"/>
        <w:spacing w:line="288" w:lineRule="auto"/>
      </w:pPr>
    </w:p>
    <w:p>
      <w:pPr>
        <w:pStyle w:val="Body A"/>
        <w:spacing w:line="288" w:lineRule="auto"/>
        <w:rPr>
          <w:lang w:val="en-US"/>
        </w:rPr>
      </w:pPr>
      <w:r>
        <w:rPr>
          <w:rtl w:val="0"/>
          <w:lang w:val="en-US"/>
        </w:rPr>
        <w:t>The principal adviser responsible for this matter will be:</w:t>
      </w:r>
    </w:p>
    <w:p>
      <w:pPr>
        <w:pStyle w:val="Body A"/>
        <w:spacing w:line="288" w:lineRule="auto"/>
      </w:pPr>
    </w:p>
    <w:p>
      <w:pPr>
        <w:pStyle w:val="Body A"/>
        <w:spacing w:line="288" w:lineRule="auto"/>
        <w:rPr>
          <w:i w:val="1"/>
          <w:iCs w:val="1"/>
          <w:lang w:val="en-US"/>
        </w:rPr>
      </w:pPr>
      <w:r>
        <w:rPr>
          <w:i w:val="1"/>
          <w:iCs w:val="1"/>
          <w:rtl w:val="0"/>
          <w:lang w:val="en-US"/>
        </w:rPr>
        <w:t>[Insert Adviser Name]</w:t>
      </w:r>
    </w:p>
    <w:p>
      <w:pPr>
        <w:pStyle w:val="Body A"/>
        <w:spacing w:line="288" w:lineRule="auto"/>
        <w:rPr>
          <w:i w:val="1"/>
          <w:iCs w:val="1"/>
        </w:rPr>
      </w:pPr>
    </w:p>
    <w:p>
      <w:pPr>
        <w:pStyle w:val="Body A"/>
        <w:spacing w:line="288" w:lineRule="auto"/>
        <w:rPr>
          <w:i w:val="1"/>
          <w:iCs w:val="1"/>
          <w:lang w:val="en-US"/>
        </w:rPr>
      </w:pPr>
      <w:r>
        <w:rPr>
          <w:i w:val="1"/>
          <w:iCs w:val="1"/>
          <w:rtl w:val="0"/>
          <w:lang w:val="en-US"/>
        </w:rPr>
        <w:t>[Insert Position / Consultant Title]</w:t>
      </w:r>
    </w:p>
    <w:p>
      <w:pPr>
        <w:pStyle w:val="Body A"/>
        <w:spacing w:line="288" w:lineRule="auto"/>
      </w:pPr>
    </w:p>
    <w:p>
      <w:pPr>
        <w:pStyle w:val="Body A"/>
        <w:spacing w:line="288" w:lineRule="auto"/>
        <w:rPr>
          <w:lang w:val="en-US"/>
        </w:rPr>
      </w:pPr>
      <w:r>
        <w:rPr>
          <w:rtl w:val="0"/>
          <w:lang w:val="en-US"/>
        </w:rPr>
        <w:t>Unless otherwise agreed, Hayhills shall be entitled to accept instructions from:</w:t>
      </w:r>
    </w:p>
    <w:p>
      <w:pPr>
        <w:pStyle w:val="Body A"/>
        <w:spacing w:line="288" w:lineRule="auto"/>
      </w:pPr>
    </w:p>
    <w:p>
      <w:pPr>
        <w:pStyle w:val="Body A"/>
        <w:spacing w:line="288" w:lineRule="auto"/>
        <w:rPr>
          <w:lang w:val="en-US"/>
        </w:rPr>
      </w:pPr>
      <w:r>
        <w:rPr>
          <w:rtl w:val="0"/>
          <w:lang w:val="en-US"/>
        </w:rPr>
        <w:t>* the named client;</w:t>
      </w:r>
    </w:p>
    <w:p>
      <w:pPr>
        <w:pStyle w:val="Body A"/>
        <w:spacing w:line="288" w:lineRule="auto"/>
        <w:rPr>
          <w:lang w:val="en-US"/>
        </w:rPr>
      </w:pPr>
      <w:r>
        <w:rPr>
          <w:rtl w:val="0"/>
          <w:lang w:val="en-US"/>
        </w:rPr>
        <w:t>* authorised representatives;</w:t>
      </w:r>
    </w:p>
    <w:p>
      <w:pPr>
        <w:pStyle w:val="Body A"/>
        <w:spacing w:line="288" w:lineRule="auto"/>
        <w:rPr>
          <w:lang w:val="en-US"/>
        </w:rPr>
      </w:pPr>
      <w:r>
        <w:rPr>
          <w:rtl w:val="0"/>
          <w:lang w:val="en-US"/>
        </w:rPr>
        <w:t>* directors;</w:t>
      </w:r>
    </w:p>
    <w:p>
      <w:pPr>
        <w:pStyle w:val="Body A"/>
        <w:spacing w:line="288" w:lineRule="auto"/>
        <w:rPr>
          <w:lang w:val="en-US"/>
        </w:rPr>
      </w:pPr>
      <w:r>
        <w:rPr>
          <w:rtl w:val="0"/>
          <w:lang w:val="en-US"/>
        </w:rPr>
        <w:t>* officers;</w:t>
      </w:r>
    </w:p>
    <w:p>
      <w:pPr>
        <w:pStyle w:val="Body A"/>
        <w:spacing w:line="288" w:lineRule="auto"/>
        <w:rPr>
          <w:lang w:val="en-US"/>
        </w:rPr>
      </w:pPr>
      <w:r>
        <w:rPr>
          <w:rtl w:val="0"/>
          <w:lang w:val="en-US"/>
        </w:rPr>
        <w:t>* employees;</w:t>
      </w:r>
    </w:p>
    <w:p>
      <w:pPr>
        <w:pStyle w:val="Body A"/>
        <w:spacing w:line="288" w:lineRule="auto"/>
      </w:pPr>
      <w:r>
        <w:rPr>
          <w:rtl w:val="0"/>
          <w:lang w:val="en-US"/>
        </w:rPr>
        <w:t>* or persons reasonably appearing authorised to provide instructions on the client</w:t>
      </w:r>
      <w:r>
        <w:rPr>
          <w:rFonts w:ascii="Arial Unicode MS" w:hAnsi="Arial Unicode MS" w:hint="default"/>
          <w:rtl w:val="1"/>
          <w:lang w:val="ar-SA" w:bidi="ar-SA"/>
        </w:rPr>
        <w:t>’</w:t>
      </w:r>
      <w:r>
        <w:rPr>
          <w:rtl w:val="0"/>
          <w:lang w:val="de-DE"/>
        </w:rPr>
        <w:t>s behalf.</w:t>
      </w:r>
    </w:p>
    <w:p>
      <w:pPr>
        <w:pStyle w:val="Body A"/>
        <w:spacing w:line="288" w:lineRule="auto"/>
      </w:pPr>
    </w:p>
    <w:p>
      <w:pPr>
        <w:pStyle w:val="Body A"/>
        <w:spacing w:line="288" w:lineRule="auto"/>
        <w:rPr>
          <w:lang w:val="en-US"/>
        </w:rPr>
      </w:pPr>
      <w:r>
        <w:rPr>
          <w:rtl w:val="0"/>
          <w:lang w:val="en-US"/>
        </w:rPr>
        <w:t>Clients are responsible for:</w:t>
      </w:r>
    </w:p>
    <w:p>
      <w:pPr>
        <w:pStyle w:val="Body A"/>
        <w:spacing w:line="288" w:lineRule="auto"/>
      </w:pPr>
    </w:p>
    <w:p>
      <w:pPr>
        <w:pStyle w:val="Body A"/>
        <w:spacing w:line="288" w:lineRule="auto"/>
        <w:rPr>
          <w:lang w:val="en-US"/>
        </w:rPr>
      </w:pPr>
      <w:r>
        <w:rPr>
          <w:rtl w:val="0"/>
          <w:lang w:val="en-US"/>
        </w:rPr>
        <w:t>* ensuring instructions and information are accurate and complete;</w:t>
      </w:r>
    </w:p>
    <w:p>
      <w:pPr>
        <w:pStyle w:val="Body A"/>
        <w:spacing w:line="288" w:lineRule="auto"/>
        <w:rPr>
          <w:lang w:val="en-US"/>
        </w:rPr>
      </w:pPr>
      <w:r>
        <w:rPr>
          <w:rtl w:val="0"/>
          <w:lang w:val="en-US"/>
        </w:rPr>
        <w:t>* identifying deadlines or urgent matters;</w:t>
      </w:r>
    </w:p>
    <w:p>
      <w:pPr>
        <w:pStyle w:val="Body A"/>
        <w:spacing w:line="288" w:lineRule="auto"/>
        <w:rPr>
          <w:lang w:val="en-US"/>
        </w:rPr>
      </w:pPr>
      <w:r>
        <w:rPr>
          <w:rtl w:val="0"/>
          <w:lang w:val="en-US"/>
        </w:rPr>
        <w:t>* reviewing draft documentation carefully;</w:t>
      </w:r>
    </w:p>
    <w:p>
      <w:pPr>
        <w:pStyle w:val="Body A"/>
        <w:spacing w:line="288" w:lineRule="auto"/>
        <w:rPr>
          <w:lang w:val="en-US"/>
        </w:rPr>
      </w:pPr>
      <w:r>
        <w:rPr>
          <w:rtl w:val="0"/>
          <w:lang w:val="en-US"/>
        </w:rPr>
        <w:t>* promptly responding to requests for instructions;</w:t>
      </w:r>
    </w:p>
    <w:p>
      <w:pPr>
        <w:pStyle w:val="Body A"/>
        <w:spacing w:line="288" w:lineRule="auto"/>
        <w:rPr>
          <w:lang w:val="en-US"/>
        </w:rPr>
      </w:pPr>
      <w:r>
        <w:rPr>
          <w:rtl w:val="0"/>
          <w:lang w:val="en-US"/>
        </w:rPr>
        <w:t>* and notifying Hayhills of material developments affecting the matter.</w:t>
      </w:r>
    </w:p>
    <w:p>
      <w:pPr>
        <w:pStyle w:val="Body A"/>
        <w:spacing w:line="288" w:lineRule="auto"/>
      </w:pPr>
    </w:p>
    <w:p>
      <w:pPr>
        <w:pStyle w:val="Body A"/>
        <w:spacing w:line="288" w:lineRule="auto"/>
        <w:rPr>
          <w:lang w:val="en-US"/>
        </w:rPr>
      </w:pPr>
      <w:r>
        <w:rPr>
          <w:rtl w:val="0"/>
          <w:lang w:val="en-US"/>
        </w:rPr>
        <w:t>Hayhills shall be entitled to rely upon information and instructions provided unless there is clear reason not to do so.</w:t>
      </w:r>
    </w:p>
    <w:p>
      <w:pPr>
        <w:pStyle w:val="Body A"/>
        <w:spacing w:line="288" w:lineRule="auto"/>
        <w:rPr>
          <w:lang w:val="en-US"/>
        </w:rPr>
      </w:pPr>
    </w:p>
    <w:p>
      <w:pPr>
        <w:pStyle w:val="Body A"/>
        <w:spacing w:line="288" w:lineRule="auto"/>
        <w:rPr>
          <w:b w:val="1"/>
          <w:bCs w:val="1"/>
          <w:lang w:val="en-US"/>
        </w:rPr>
      </w:pPr>
      <w:r>
        <w:rPr>
          <w:b w:val="1"/>
          <w:bCs w:val="1"/>
          <w:rtl w:val="0"/>
          <w:lang w:val="en-US"/>
        </w:rPr>
        <w:t>5. Fee Structure and Charging Basis</w:t>
      </w:r>
    </w:p>
    <w:p>
      <w:pPr>
        <w:pStyle w:val="Body A"/>
        <w:spacing w:line="288" w:lineRule="auto"/>
      </w:pPr>
    </w:p>
    <w:p>
      <w:pPr>
        <w:pStyle w:val="Body A"/>
        <w:spacing w:line="288" w:lineRule="auto"/>
        <w:rPr>
          <w:b w:val="1"/>
          <w:bCs w:val="1"/>
          <w:lang w:val="en-US"/>
        </w:rPr>
      </w:pPr>
      <w:r>
        <w:rPr>
          <w:b w:val="1"/>
          <w:bCs w:val="1"/>
          <w:rtl w:val="0"/>
          <w:lang w:val="en-US"/>
        </w:rPr>
        <w:t>Initial Consultation</w:t>
      </w:r>
    </w:p>
    <w:p>
      <w:pPr>
        <w:pStyle w:val="Body A"/>
        <w:spacing w:line="288" w:lineRule="auto"/>
      </w:pPr>
    </w:p>
    <w:p>
      <w:pPr>
        <w:pStyle w:val="Body A"/>
        <w:spacing w:line="288" w:lineRule="auto"/>
        <w:rPr>
          <w:lang w:val="en-US"/>
        </w:rPr>
      </w:pPr>
      <w:r>
        <w:rPr>
          <w:rtl w:val="0"/>
          <w:lang w:val="en-US"/>
        </w:rPr>
        <w:t>An initial consultation fee of:</w:t>
        <w:tab/>
      </w:r>
      <w:r>
        <w:rPr>
          <w:rtl w:val="0"/>
          <w:lang w:val="en-US"/>
        </w:rPr>
        <w:t xml:space="preserve">£ </w:t>
      </w:r>
      <w:r>
        <w:rPr>
          <w:rtl w:val="0"/>
          <w:lang w:val="en-US"/>
        </w:rPr>
        <w:t xml:space="preserve">120.00 plus VAT </w:t>
      </w:r>
      <w:r>
        <w:rPr>
          <w:rtl w:val="0"/>
          <w:lang w:val="en-US"/>
        </w:rPr>
        <w:t xml:space="preserve"> </w:t>
      </w:r>
      <w:r>
        <w:rPr>
          <w:rtl w:val="0"/>
          <w:lang w:val="en-US"/>
        </w:rPr>
        <w:t>shall apply unless otherwise agreed in writing.</w:t>
      </w:r>
    </w:p>
    <w:p>
      <w:pPr>
        <w:pStyle w:val="Body A"/>
        <w:spacing w:line="288" w:lineRule="auto"/>
      </w:pPr>
    </w:p>
    <w:p>
      <w:pPr>
        <w:pStyle w:val="Body A"/>
        <w:spacing w:line="288" w:lineRule="auto"/>
        <w:rPr>
          <w:lang w:val="en-US"/>
        </w:rPr>
      </w:pPr>
    </w:p>
    <w:p>
      <w:pPr>
        <w:pStyle w:val="Body A"/>
        <w:spacing w:line="288" w:lineRule="auto"/>
        <w:rPr>
          <w:lang w:val="en-US"/>
        </w:rPr>
      </w:pPr>
      <w:r>
        <w:rPr>
          <w:rtl w:val="0"/>
          <w:lang w:val="en-US"/>
        </w:rPr>
        <w:t>Consultation fees are payable in advance and are generally non-refundable once the consultation has taken place.</w:t>
      </w:r>
    </w:p>
    <w:p>
      <w:pPr>
        <w:pStyle w:val="Body A"/>
        <w:spacing w:line="288" w:lineRule="auto"/>
      </w:pPr>
    </w:p>
    <w:p>
      <w:pPr>
        <w:pStyle w:val="Body A"/>
        <w:spacing w:line="288" w:lineRule="auto"/>
        <w:rPr>
          <w:b w:val="1"/>
          <w:bCs w:val="1"/>
          <w:lang w:val="en-US"/>
        </w:rPr>
      </w:pPr>
      <w:r>
        <w:rPr>
          <w:b w:val="1"/>
          <w:bCs w:val="1"/>
          <w:rtl w:val="0"/>
          <w:lang w:val="en-US"/>
        </w:rPr>
        <w:t>Advisory Fees</w:t>
      </w:r>
    </w:p>
    <w:p>
      <w:pPr>
        <w:pStyle w:val="Body A"/>
        <w:spacing w:line="288" w:lineRule="auto"/>
      </w:pPr>
    </w:p>
    <w:p>
      <w:pPr>
        <w:pStyle w:val="Body A"/>
        <w:spacing w:line="288" w:lineRule="auto"/>
        <w:rPr>
          <w:lang w:val="en-US"/>
        </w:rPr>
      </w:pPr>
      <w:r>
        <w:rPr>
          <w:rtl w:val="0"/>
          <w:lang w:val="en-US"/>
        </w:rPr>
        <w:t>Unless otherwise agreed in writing, advisory services may be charged:</w:t>
      </w:r>
    </w:p>
    <w:p>
      <w:pPr>
        <w:pStyle w:val="Body A"/>
        <w:spacing w:line="288" w:lineRule="auto"/>
      </w:pPr>
    </w:p>
    <w:p>
      <w:pPr>
        <w:pStyle w:val="Body A"/>
        <w:spacing w:line="288" w:lineRule="auto"/>
        <w:rPr>
          <w:lang w:val="en-US"/>
        </w:rPr>
      </w:pPr>
      <w:r>
        <w:rPr>
          <w:rtl w:val="0"/>
          <w:lang w:val="en-US"/>
        </w:rPr>
        <w:t>* on an hourly basis;</w:t>
      </w:r>
    </w:p>
    <w:p>
      <w:pPr>
        <w:pStyle w:val="Body A"/>
        <w:spacing w:line="288" w:lineRule="auto"/>
        <w:rPr>
          <w:lang w:val="en-US"/>
        </w:rPr>
      </w:pPr>
      <w:r>
        <w:rPr>
          <w:rtl w:val="0"/>
          <w:lang w:val="en-US"/>
        </w:rPr>
        <w:t>* fixed fee basis;</w:t>
      </w:r>
    </w:p>
    <w:p>
      <w:pPr>
        <w:pStyle w:val="Body A"/>
        <w:spacing w:line="288" w:lineRule="auto"/>
        <w:rPr>
          <w:lang w:val="en-US"/>
        </w:rPr>
      </w:pPr>
      <w:r>
        <w:rPr>
          <w:rtl w:val="0"/>
          <w:lang w:val="en-US"/>
        </w:rPr>
        <w:t>* staged fee arrangement;</w:t>
      </w:r>
    </w:p>
    <w:p>
      <w:pPr>
        <w:pStyle w:val="Body A"/>
        <w:spacing w:line="288" w:lineRule="auto"/>
        <w:rPr>
          <w:lang w:val="en-US"/>
        </w:rPr>
      </w:pPr>
      <w:r>
        <w:rPr>
          <w:rtl w:val="0"/>
          <w:lang w:val="en-US"/>
        </w:rPr>
        <w:t>* monthly advisory retainer;</w:t>
      </w:r>
    </w:p>
    <w:p>
      <w:pPr>
        <w:pStyle w:val="Body A"/>
        <w:spacing w:line="288" w:lineRule="auto"/>
        <w:rPr>
          <w:lang w:val="en-US"/>
        </w:rPr>
      </w:pPr>
      <w:r>
        <w:rPr>
          <w:rtl w:val="0"/>
          <w:lang w:val="en-US"/>
        </w:rPr>
        <w:t>* or other agreed commercial structure.</w:t>
      </w:r>
    </w:p>
    <w:p>
      <w:pPr>
        <w:pStyle w:val="Body A"/>
        <w:spacing w:line="288" w:lineRule="auto"/>
      </w:pPr>
    </w:p>
    <w:p>
      <w:pPr>
        <w:pStyle w:val="Body A"/>
        <w:spacing w:line="288" w:lineRule="auto"/>
        <w:rPr>
          <w:lang w:val="en-US"/>
        </w:rPr>
      </w:pPr>
      <w:r>
        <w:rPr>
          <w:rtl w:val="0"/>
          <w:lang w:val="en-US"/>
        </w:rPr>
        <w:t>Current indicative advisory rates are:</w:t>
      </w:r>
    </w:p>
    <w:p>
      <w:pPr>
        <w:pStyle w:val="Body A"/>
        <w:spacing w:line="288" w:lineRule="auto"/>
      </w:pPr>
    </w:p>
    <w:p>
      <w:pPr>
        <w:pStyle w:val="Body A"/>
        <w:spacing w:line="288" w:lineRule="auto"/>
        <w:rPr>
          <w:lang w:val="en-US"/>
        </w:rPr>
      </w:pPr>
      <w:r>
        <w:rPr>
          <w:rtl w:val="0"/>
          <w:lang w:val="en-US"/>
        </w:rPr>
        <w:t>Advisory Level</w:t>
      </w:r>
    </w:p>
    <w:p>
      <w:pPr>
        <w:pStyle w:val="Body A"/>
        <w:spacing w:line="288" w:lineRule="auto"/>
      </w:pPr>
    </w:p>
    <w:p>
      <w:pPr>
        <w:pStyle w:val="Body A"/>
        <w:spacing w:line="288" w:lineRule="auto"/>
        <w:rPr>
          <w:lang w:val="en-US"/>
        </w:rPr>
      </w:pPr>
      <w:r>
        <w:rPr>
          <w:rtl w:val="0"/>
          <w:lang w:val="en-US"/>
        </w:rPr>
        <w:t>Hourly Rate</w:t>
      </w:r>
    </w:p>
    <w:p>
      <w:pPr>
        <w:pStyle w:val="Body A"/>
        <w:spacing w:line="288" w:lineRule="auto"/>
      </w:pPr>
    </w:p>
    <w:p>
      <w:pPr>
        <w:pStyle w:val="Body A"/>
        <w:spacing w:line="288" w:lineRule="auto"/>
      </w:pPr>
      <w:r>
        <w:rPr>
          <w:rtl w:val="0"/>
          <w:lang w:val="en-US"/>
        </w:rPr>
        <w:t xml:space="preserve">Standard Advisory: </w:t>
      </w:r>
      <w:r>
        <w:rPr>
          <w:rtl w:val="0"/>
          <w:lang w:val="da-DK"/>
        </w:rPr>
        <w:t>£</w:t>
      </w:r>
      <w:r>
        <w:rPr>
          <w:rtl w:val="0"/>
          <w:lang w:val="en-US"/>
        </w:rPr>
        <w:t xml:space="preserve"> 150.00</w:t>
      </w:r>
      <w:r>
        <w:rPr>
          <w:rtl w:val="0"/>
          <w:lang w:val="da-DK"/>
        </w:rPr>
        <w:t xml:space="preserve"> </w:t>
      </w:r>
      <w:r>
        <w:rPr>
          <w:rtl w:val="0"/>
          <w:lang w:val="en-US"/>
        </w:rPr>
        <w:t>plus</w:t>
      </w:r>
      <w:r>
        <w:rPr>
          <w:rtl w:val="0"/>
          <w:lang w:val="da-DK"/>
        </w:rPr>
        <w:t xml:space="preserve"> VAT</w:t>
      </w:r>
    </w:p>
    <w:p>
      <w:pPr>
        <w:pStyle w:val="Body A"/>
        <w:spacing w:line="288" w:lineRule="auto"/>
        <w:rPr>
          <w:lang w:val="en-US"/>
        </w:rPr>
      </w:pPr>
      <w:r>
        <w:rPr>
          <w:rtl w:val="0"/>
          <w:lang w:val="en-US"/>
        </w:rPr>
        <w:t xml:space="preserve">Senior / Complex Advisory: </w:t>
      </w:r>
      <w:r>
        <w:rPr>
          <w:rtl w:val="0"/>
          <w:lang w:val="en-US"/>
        </w:rPr>
        <w:t xml:space="preserve">£ </w:t>
      </w:r>
      <w:r>
        <w:rPr>
          <w:rtl w:val="0"/>
          <w:lang w:val="en-US"/>
        </w:rPr>
        <w:t>195.00 plus VAT</w:t>
      </w:r>
    </w:p>
    <w:p>
      <w:pPr>
        <w:pStyle w:val="Body A"/>
        <w:spacing w:line="288" w:lineRule="auto"/>
      </w:pPr>
      <w:r>
        <w:rPr>
          <w:rtl w:val="0"/>
          <w:lang w:val="en-US"/>
        </w:rPr>
        <w:t xml:space="preserve">Strategic Commercial Advisory: </w:t>
      </w:r>
      <w:r>
        <w:rPr>
          <w:rtl w:val="0"/>
          <w:lang w:val="da-DK"/>
        </w:rPr>
        <w:t>£</w:t>
      </w:r>
      <w:r>
        <w:rPr>
          <w:rtl w:val="0"/>
          <w:lang w:val="en-US"/>
        </w:rPr>
        <w:t xml:space="preserve"> </w:t>
      </w:r>
      <w:r>
        <w:rPr>
          <w:rtl w:val="0"/>
          <w:lang w:val="da-DK"/>
        </w:rPr>
        <w:t>295</w:t>
      </w:r>
      <w:r>
        <w:rPr>
          <w:rtl w:val="0"/>
          <w:lang w:val="en-US"/>
        </w:rPr>
        <w:t xml:space="preserve">.00 plus </w:t>
      </w:r>
      <w:r>
        <w:rPr>
          <w:rtl w:val="0"/>
          <w:lang w:val="da-DK"/>
        </w:rPr>
        <w:t>VAT</w:t>
      </w:r>
    </w:p>
    <w:p>
      <w:pPr>
        <w:pStyle w:val="Body A"/>
        <w:spacing w:line="288" w:lineRule="auto"/>
        <w:rPr>
          <w:lang w:val="en-US"/>
        </w:rPr>
      </w:pPr>
      <w:r>
        <w:rPr>
          <w:rtl w:val="0"/>
          <w:lang w:val="en-US"/>
        </w:rPr>
        <w:t>Applicable rates may vary depending upon:</w:t>
      </w:r>
    </w:p>
    <w:p>
      <w:pPr>
        <w:pStyle w:val="Body A"/>
        <w:spacing w:line="288" w:lineRule="auto"/>
      </w:pPr>
    </w:p>
    <w:p>
      <w:pPr>
        <w:pStyle w:val="Body A"/>
        <w:spacing w:line="288" w:lineRule="auto"/>
        <w:rPr>
          <w:lang w:val="en-US"/>
        </w:rPr>
      </w:pPr>
      <w:r>
        <w:rPr>
          <w:rtl w:val="0"/>
          <w:lang w:val="en-US"/>
        </w:rPr>
        <w:t>* complexity;</w:t>
      </w:r>
    </w:p>
    <w:p>
      <w:pPr>
        <w:pStyle w:val="Body A"/>
        <w:spacing w:line="288" w:lineRule="auto"/>
        <w:rPr>
          <w:lang w:val="en-US"/>
        </w:rPr>
      </w:pPr>
      <w:r>
        <w:rPr>
          <w:rtl w:val="0"/>
          <w:lang w:val="en-US"/>
        </w:rPr>
        <w:t>* urgency;</w:t>
      </w:r>
    </w:p>
    <w:p>
      <w:pPr>
        <w:pStyle w:val="Body A"/>
        <w:spacing w:line="288" w:lineRule="auto"/>
        <w:rPr>
          <w:lang w:val="en-US"/>
        </w:rPr>
      </w:pPr>
      <w:r>
        <w:rPr>
          <w:rtl w:val="0"/>
          <w:lang w:val="en-US"/>
        </w:rPr>
        <w:t>* commercial sensitivity;</w:t>
      </w:r>
    </w:p>
    <w:p>
      <w:pPr>
        <w:pStyle w:val="Body A"/>
        <w:spacing w:line="288" w:lineRule="auto"/>
        <w:rPr>
          <w:lang w:val="en-US"/>
        </w:rPr>
      </w:pPr>
      <w:r>
        <w:rPr>
          <w:rtl w:val="0"/>
          <w:lang w:val="en-US"/>
        </w:rPr>
        <w:t>* turnaround requirements;</w:t>
      </w:r>
    </w:p>
    <w:p>
      <w:pPr>
        <w:pStyle w:val="Body A"/>
        <w:spacing w:line="288" w:lineRule="auto"/>
      </w:pPr>
      <w:r>
        <w:rPr>
          <w:rtl w:val="0"/>
          <w:lang w:val="da-DK"/>
        </w:rPr>
        <w:t>* risk profile;</w:t>
      </w:r>
    </w:p>
    <w:p>
      <w:pPr>
        <w:pStyle w:val="Body A"/>
        <w:spacing w:line="288" w:lineRule="auto"/>
        <w:rPr>
          <w:lang w:val="en-US"/>
        </w:rPr>
      </w:pPr>
      <w:r>
        <w:rPr>
          <w:rtl w:val="0"/>
          <w:lang w:val="en-US"/>
        </w:rPr>
        <w:t>* volume of documentation;</w:t>
      </w:r>
    </w:p>
    <w:p>
      <w:pPr>
        <w:pStyle w:val="Body A"/>
        <w:spacing w:line="288" w:lineRule="auto"/>
        <w:rPr>
          <w:lang w:val="en-US"/>
        </w:rPr>
      </w:pPr>
      <w:r>
        <w:rPr>
          <w:rtl w:val="0"/>
          <w:lang w:val="en-US"/>
        </w:rPr>
        <w:t>* and adviser seniority.</w:t>
      </w:r>
    </w:p>
    <w:p>
      <w:pPr>
        <w:pStyle w:val="Body A"/>
        <w:spacing w:line="288" w:lineRule="auto"/>
        <w:rPr>
          <w:lang w:val="en-US"/>
        </w:rPr>
      </w:pPr>
    </w:p>
    <w:p>
      <w:pPr>
        <w:pStyle w:val="Body A"/>
        <w:spacing w:line="288" w:lineRule="auto"/>
        <w:rPr>
          <w:b w:val="1"/>
          <w:bCs w:val="1"/>
          <w:lang w:val="en-US"/>
        </w:rPr>
      </w:pPr>
      <w:r>
        <w:rPr>
          <w:b w:val="1"/>
          <w:bCs w:val="1"/>
          <w:rtl w:val="0"/>
          <w:lang w:val="en-US"/>
        </w:rPr>
        <w:t>Estimated Fees</w:t>
      </w:r>
    </w:p>
    <w:p>
      <w:pPr>
        <w:pStyle w:val="Body A"/>
        <w:spacing w:line="288" w:lineRule="auto"/>
      </w:pPr>
    </w:p>
    <w:p>
      <w:pPr>
        <w:pStyle w:val="Body A"/>
        <w:spacing w:line="288" w:lineRule="auto"/>
        <w:rPr>
          <w:lang w:val="en-US"/>
        </w:rPr>
      </w:pPr>
      <w:r>
        <w:rPr>
          <w:rtl w:val="0"/>
          <w:lang w:val="en-US"/>
        </w:rPr>
        <w:t>Based upon current information and assumptions, we presently estimate fees for this matter to be in the region of:</w:t>
      </w:r>
    </w:p>
    <w:p>
      <w:pPr>
        <w:pStyle w:val="Body A"/>
        <w:spacing w:line="288" w:lineRule="auto"/>
      </w:pPr>
    </w:p>
    <w:p>
      <w:pPr>
        <w:pStyle w:val="Body A"/>
        <w:spacing w:line="288" w:lineRule="auto"/>
      </w:pPr>
      <w:r>
        <w:rPr>
          <w:i w:val="1"/>
          <w:iCs w:val="1"/>
          <w:rtl w:val="0"/>
          <w:lang w:val="da-DK"/>
        </w:rPr>
        <w:t>£</w:t>
      </w:r>
      <w:r>
        <w:rPr>
          <w:i w:val="1"/>
          <w:iCs w:val="1"/>
          <w:rtl w:val="0"/>
          <w:lang w:val="en-US"/>
        </w:rPr>
        <w:t xml:space="preserve"> </w:t>
      </w:r>
      <w:r>
        <w:rPr>
          <w:i w:val="1"/>
          <w:iCs w:val="1"/>
          <w:rtl w:val="0"/>
          <w:lang w:val="da-DK"/>
        </w:rPr>
        <w:t>[Insert Estimate]</w:t>
      </w:r>
      <w:r>
        <w:rPr>
          <w:i w:val="1"/>
          <w:iCs w:val="1"/>
          <w:rtl w:val="0"/>
          <w:lang w:val="en-US"/>
        </w:rPr>
        <w:t xml:space="preserve"> </w:t>
      </w:r>
      <w:r>
        <w:rPr>
          <w:rtl w:val="0"/>
          <w:lang w:val="en-US"/>
        </w:rPr>
        <w:t>plus VAT and any agreed third-party costs or disbursements.</w:t>
      </w:r>
    </w:p>
    <w:p>
      <w:pPr>
        <w:pStyle w:val="Body A"/>
        <w:spacing w:line="288" w:lineRule="auto"/>
      </w:pPr>
    </w:p>
    <w:p>
      <w:pPr>
        <w:pStyle w:val="Body A"/>
        <w:spacing w:line="288" w:lineRule="auto"/>
        <w:rPr>
          <w:lang w:val="en-US"/>
        </w:rPr>
      </w:pPr>
      <w:r>
        <w:rPr>
          <w:rtl w:val="0"/>
          <w:lang w:val="en-US"/>
        </w:rPr>
        <w:t>Any estimate provided:</w:t>
      </w:r>
    </w:p>
    <w:p>
      <w:pPr>
        <w:pStyle w:val="Body A"/>
        <w:spacing w:line="288" w:lineRule="auto"/>
      </w:pPr>
    </w:p>
    <w:p>
      <w:pPr>
        <w:pStyle w:val="Body A"/>
        <w:spacing w:line="288" w:lineRule="auto"/>
        <w:rPr>
          <w:lang w:val="en-US"/>
        </w:rPr>
      </w:pPr>
      <w:r>
        <w:rPr>
          <w:rtl w:val="0"/>
          <w:lang w:val="en-US"/>
        </w:rPr>
        <w:t>* is not a fixed quotation unless expressly stated otherwise;</w:t>
      </w:r>
    </w:p>
    <w:p>
      <w:pPr>
        <w:pStyle w:val="Body A"/>
        <w:spacing w:line="288" w:lineRule="auto"/>
        <w:rPr>
          <w:lang w:val="en-US"/>
        </w:rPr>
      </w:pPr>
    </w:p>
    <w:p>
      <w:pPr>
        <w:pStyle w:val="Body A"/>
        <w:spacing w:line="288" w:lineRule="auto"/>
        <w:rPr>
          <w:lang w:val="en-US"/>
        </w:rPr>
      </w:pPr>
      <w:r>
        <w:rPr>
          <w:rtl w:val="0"/>
          <w:lang w:val="en-US"/>
        </w:rPr>
        <w:t>* is based upon current assumptions;</w:t>
      </w:r>
    </w:p>
    <w:p>
      <w:pPr>
        <w:pStyle w:val="Body A"/>
        <w:spacing w:line="288" w:lineRule="auto"/>
        <w:rPr>
          <w:lang w:val="en-US"/>
        </w:rPr>
      </w:pPr>
      <w:r>
        <w:rPr>
          <w:rtl w:val="0"/>
          <w:lang w:val="en-US"/>
        </w:rPr>
        <w:t>* and may change where the scope or complexity of the matter changes.</w:t>
      </w:r>
    </w:p>
    <w:p>
      <w:pPr>
        <w:pStyle w:val="Body A"/>
        <w:spacing w:line="288" w:lineRule="auto"/>
        <w:rPr>
          <w:lang w:val="en-US"/>
        </w:rPr>
      </w:pPr>
    </w:p>
    <w:p>
      <w:pPr>
        <w:pStyle w:val="Body A"/>
        <w:spacing w:line="288" w:lineRule="auto"/>
        <w:rPr>
          <w:lang w:val="en-US"/>
        </w:rPr>
      </w:pPr>
      <w:r>
        <w:rPr>
          <w:rtl w:val="0"/>
          <w:lang w:val="en-US"/>
        </w:rPr>
        <w:t>If:</w:t>
      </w:r>
    </w:p>
    <w:p>
      <w:pPr>
        <w:pStyle w:val="Body A"/>
        <w:spacing w:line="288" w:lineRule="auto"/>
      </w:pPr>
    </w:p>
    <w:p>
      <w:pPr>
        <w:pStyle w:val="Body A"/>
        <w:spacing w:line="288" w:lineRule="auto"/>
        <w:rPr>
          <w:lang w:val="en-US"/>
        </w:rPr>
      </w:pPr>
      <w:r>
        <w:rPr>
          <w:rtl w:val="0"/>
          <w:lang w:val="en-US"/>
        </w:rPr>
        <w:t>* additional work becomes necessary;</w:t>
      </w:r>
    </w:p>
    <w:p>
      <w:pPr>
        <w:pStyle w:val="Body A"/>
        <w:spacing w:line="288" w:lineRule="auto"/>
        <w:rPr>
          <w:lang w:val="en-US"/>
        </w:rPr>
      </w:pPr>
      <w:r>
        <w:rPr>
          <w:rtl w:val="0"/>
          <w:lang w:val="en-US"/>
        </w:rPr>
        <w:t>* urgency increases;</w:t>
      </w:r>
    </w:p>
    <w:p>
      <w:pPr>
        <w:pStyle w:val="Body A"/>
        <w:spacing w:line="288" w:lineRule="auto"/>
        <w:rPr>
          <w:lang w:val="fr-FR"/>
        </w:rPr>
      </w:pPr>
      <w:r>
        <w:rPr>
          <w:rtl w:val="0"/>
          <w:lang w:val="fr-FR"/>
        </w:rPr>
        <w:t>* assumptions change;</w:t>
      </w:r>
    </w:p>
    <w:p>
      <w:pPr>
        <w:pStyle w:val="Body A"/>
        <w:spacing w:line="288" w:lineRule="auto"/>
        <w:rPr>
          <w:lang w:val="en-US"/>
        </w:rPr>
      </w:pPr>
      <w:r>
        <w:rPr>
          <w:rtl w:val="0"/>
          <w:lang w:val="en-US"/>
        </w:rPr>
        <w:t>* or material developments arise,</w:t>
      </w:r>
    </w:p>
    <w:p>
      <w:pPr>
        <w:pStyle w:val="Body A"/>
        <w:spacing w:line="288" w:lineRule="auto"/>
      </w:pPr>
    </w:p>
    <w:p>
      <w:pPr>
        <w:pStyle w:val="Body A"/>
        <w:spacing w:line="288" w:lineRule="auto"/>
        <w:rPr>
          <w:lang w:val="en-US"/>
        </w:rPr>
      </w:pPr>
      <w:r>
        <w:rPr>
          <w:rtl w:val="0"/>
          <w:lang w:val="en-US"/>
        </w:rPr>
        <w:t>Hayhills reserves the right to revise fee estimates and charging arrangements accordingly.</w:t>
      </w:r>
    </w:p>
    <w:p>
      <w:pPr>
        <w:pStyle w:val="Body A"/>
        <w:spacing w:line="288" w:lineRule="auto"/>
      </w:pPr>
    </w:p>
    <w:p>
      <w:pPr>
        <w:pStyle w:val="Body A"/>
        <w:spacing w:line="288" w:lineRule="auto"/>
        <w:rPr>
          <w:b w:val="1"/>
          <w:bCs w:val="1"/>
          <w:lang w:val="en-US"/>
        </w:rPr>
      </w:pPr>
      <w:r>
        <w:rPr>
          <w:b w:val="1"/>
          <w:bCs w:val="1"/>
          <w:rtl w:val="0"/>
          <w:lang w:val="en-US"/>
        </w:rPr>
        <w:t>6. Payments on Account and Retainers</w:t>
      </w:r>
    </w:p>
    <w:p>
      <w:pPr>
        <w:pStyle w:val="Body A"/>
        <w:spacing w:line="288" w:lineRule="auto"/>
      </w:pPr>
    </w:p>
    <w:p>
      <w:pPr>
        <w:pStyle w:val="Body A"/>
        <w:spacing w:line="288" w:lineRule="auto"/>
        <w:rPr>
          <w:lang w:val="en-US"/>
        </w:rPr>
      </w:pPr>
      <w:r>
        <w:rPr>
          <w:rtl w:val="0"/>
          <w:lang w:val="en-US"/>
        </w:rPr>
        <w:t>Hayhills operates a payment-on-account and retainer-based advisory model designed to ensure efficient progression of matters and minimise interruption to services.</w:t>
      </w:r>
    </w:p>
    <w:p>
      <w:pPr>
        <w:pStyle w:val="Body A"/>
        <w:spacing w:line="288" w:lineRule="auto"/>
      </w:pPr>
    </w:p>
    <w:p>
      <w:pPr>
        <w:pStyle w:val="Body A"/>
        <w:spacing w:line="288" w:lineRule="auto"/>
        <w:rPr>
          <w:lang w:val="en-US"/>
        </w:rPr>
      </w:pPr>
      <w:r>
        <w:rPr>
          <w:rtl w:val="0"/>
          <w:lang w:val="en-US"/>
        </w:rPr>
        <w:t>Prior to commencing any or substantive work, Hayhills may request an initial payment on account of costs.</w:t>
      </w:r>
    </w:p>
    <w:p>
      <w:pPr>
        <w:pStyle w:val="Body A"/>
        <w:spacing w:line="288" w:lineRule="auto"/>
      </w:pPr>
    </w:p>
    <w:p>
      <w:pPr>
        <w:pStyle w:val="Body A"/>
        <w:spacing w:line="288" w:lineRule="auto"/>
        <w:rPr>
          <w:i w:val="1"/>
          <w:iCs w:val="1"/>
        </w:rPr>
      </w:pPr>
      <w:r>
        <w:rPr>
          <w:rtl w:val="0"/>
          <w:lang w:val="en-US"/>
        </w:rPr>
        <w:t xml:space="preserve">For this matter, we request an initial payment on account of: </w:t>
      </w:r>
      <w:r>
        <w:rPr>
          <w:i w:val="1"/>
          <w:iCs w:val="1"/>
          <w:rtl w:val="0"/>
          <w:lang w:val="da-DK"/>
        </w:rPr>
        <w:t>£</w:t>
      </w:r>
      <w:r>
        <w:rPr>
          <w:i w:val="1"/>
          <w:iCs w:val="1"/>
          <w:rtl w:val="0"/>
          <w:lang w:val="en-US"/>
        </w:rPr>
        <w:t xml:space="preserve"> </w:t>
      </w:r>
      <w:r>
        <w:rPr>
          <w:i w:val="1"/>
          <w:iCs w:val="1"/>
          <w:rtl w:val="0"/>
          <w:lang w:val="pt-PT"/>
        </w:rPr>
        <w:t>[Insert]</w:t>
      </w:r>
      <w:r>
        <w:rPr>
          <w:i w:val="1"/>
          <w:iCs w:val="1"/>
          <w:rtl w:val="0"/>
          <w:lang w:val="en-US"/>
        </w:rPr>
        <w:t xml:space="preserve"> </w:t>
      </w:r>
      <w:r>
        <w:rPr>
          <w:i w:val="1"/>
          <w:iCs w:val="1"/>
          <w:rtl w:val="0"/>
          <w:lang w:val="fr-FR"/>
        </w:rPr>
        <w:t>plus VAT</w:t>
      </w:r>
    </w:p>
    <w:p>
      <w:pPr>
        <w:pStyle w:val="Body A"/>
        <w:spacing w:line="288" w:lineRule="auto"/>
      </w:pPr>
    </w:p>
    <w:p>
      <w:pPr>
        <w:pStyle w:val="Body A"/>
        <w:spacing w:line="288" w:lineRule="auto"/>
        <w:rPr>
          <w:lang w:val="en-US"/>
        </w:rPr>
      </w:pPr>
      <w:r>
        <w:rPr>
          <w:rtl w:val="0"/>
          <w:lang w:val="en-US"/>
        </w:rPr>
        <w:t>Work may not commence until cleared funds have been received.</w:t>
      </w:r>
    </w:p>
    <w:p>
      <w:pPr>
        <w:pStyle w:val="Body A"/>
        <w:spacing w:line="288" w:lineRule="auto"/>
      </w:pPr>
    </w:p>
    <w:p>
      <w:pPr>
        <w:pStyle w:val="Body A"/>
        <w:spacing w:line="288" w:lineRule="auto"/>
        <w:rPr>
          <w:lang w:val="en-US"/>
        </w:rPr>
      </w:pPr>
      <w:r>
        <w:rPr>
          <w:rtl w:val="0"/>
          <w:lang w:val="en-US"/>
        </w:rPr>
        <w:t>Where appropriate, Hayhills may also require:</w:t>
      </w:r>
    </w:p>
    <w:p>
      <w:pPr>
        <w:pStyle w:val="Body A"/>
        <w:spacing w:line="288" w:lineRule="auto"/>
      </w:pPr>
    </w:p>
    <w:p>
      <w:pPr>
        <w:pStyle w:val="Body A"/>
        <w:spacing w:line="288" w:lineRule="auto"/>
        <w:rPr>
          <w:lang w:val="en-US"/>
        </w:rPr>
      </w:pPr>
      <w:r>
        <w:rPr>
          <w:rtl w:val="0"/>
          <w:lang w:val="en-US"/>
        </w:rPr>
        <w:t>* ongoing retainer balances;</w:t>
      </w:r>
    </w:p>
    <w:p>
      <w:pPr>
        <w:pStyle w:val="Body A"/>
        <w:spacing w:line="288" w:lineRule="auto"/>
        <w:rPr>
          <w:lang w:val="en-US"/>
        </w:rPr>
      </w:pPr>
      <w:r>
        <w:rPr>
          <w:rtl w:val="0"/>
          <w:lang w:val="en-US"/>
        </w:rPr>
        <w:t>* staged payments;</w:t>
      </w:r>
    </w:p>
    <w:p>
      <w:pPr>
        <w:pStyle w:val="Body A"/>
        <w:spacing w:line="288" w:lineRule="auto"/>
        <w:rPr>
          <w:lang w:val="en-US"/>
        </w:rPr>
      </w:pPr>
      <w:r>
        <w:rPr>
          <w:rtl w:val="0"/>
          <w:lang w:val="en-US"/>
        </w:rPr>
        <w:t>* recurring monthly retainers;</w:t>
      </w:r>
    </w:p>
    <w:p>
      <w:pPr>
        <w:pStyle w:val="Body A"/>
        <w:spacing w:line="288" w:lineRule="auto"/>
        <w:rPr>
          <w:lang w:val="en-US"/>
        </w:rPr>
      </w:pPr>
      <w:r>
        <w:rPr>
          <w:rtl w:val="0"/>
          <w:lang w:val="en-US"/>
        </w:rPr>
        <w:t>* or replenishment of funds on account during the course of the engagement.</w:t>
      </w:r>
    </w:p>
    <w:p>
      <w:pPr>
        <w:pStyle w:val="Body A"/>
        <w:spacing w:line="288" w:lineRule="auto"/>
        <w:rPr>
          <w:lang w:val="en-US"/>
        </w:rPr>
      </w:pPr>
    </w:p>
    <w:p>
      <w:pPr>
        <w:pStyle w:val="Body A"/>
        <w:spacing w:line="288" w:lineRule="auto"/>
        <w:rPr>
          <w:lang w:val="en-US"/>
        </w:rPr>
      </w:pPr>
      <w:r>
        <w:rPr>
          <w:rtl w:val="0"/>
          <w:lang w:val="en-US"/>
        </w:rPr>
        <w:t>Hayhills reserves the right to suspend or decline further work where:</w:t>
      </w:r>
    </w:p>
    <w:p>
      <w:pPr>
        <w:pStyle w:val="Body A"/>
        <w:spacing w:line="288" w:lineRule="auto"/>
      </w:pPr>
    </w:p>
    <w:p>
      <w:pPr>
        <w:pStyle w:val="Body A"/>
        <w:spacing w:line="288" w:lineRule="auto"/>
        <w:rPr>
          <w:lang w:val="en-US"/>
        </w:rPr>
      </w:pPr>
      <w:r>
        <w:rPr>
          <w:rtl w:val="0"/>
          <w:lang w:val="en-US"/>
        </w:rPr>
        <w:t>* account balances are exhausted;</w:t>
      </w:r>
    </w:p>
    <w:p>
      <w:pPr>
        <w:pStyle w:val="Body A"/>
        <w:spacing w:line="288" w:lineRule="auto"/>
        <w:rPr>
          <w:lang w:val="en-US"/>
        </w:rPr>
      </w:pPr>
      <w:r>
        <w:rPr>
          <w:rtl w:val="0"/>
          <w:lang w:val="en-US"/>
        </w:rPr>
        <w:t>* requested retainers are not replenished;</w:t>
      </w:r>
    </w:p>
    <w:p>
      <w:pPr>
        <w:pStyle w:val="Body A"/>
        <w:spacing w:line="288" w:lineRule="auto"/>
        <w:rPr>
          <w:lang w:val="en-US"/>
        </w:rPr>
      </w:pPr>
      <w:r>
        <w:rPr>
          <w:rtl w:val="0"/>
          <w:lang w:val="en-US"/>
        </w:rPr>
        <w:t>* or invoices remain unpaid.</w:t>
      </w:r>
    </w:p>
    <w:p>
      <w:pPr>
        <w:pStyle w:val="Body A"/>
        <w:spacing w:line="288" w:lineRule="auto"/>
      </w:pPr>
    </w:p>
    <w:p>
      <w:pPr>
        <w:pStyle w:val="Body A"/>
        <w:spacing w:line="288" w:lineRule="auto"/>
        <w:rPr>
          <w:lang w:val="en-US"/>
        </w:rPr>
      </w:pPr>
      <w:r>
        <w:rPr>
          <w:rtl w:val="0"/>
          <w:lang w:val="en-US"/>
        </w:rPr>
        <w:t>Hayhills does not operate a regulated client account.</w:t>
      </w:r>
    </w:p>
    <w:p>
      <w:pPr>
        <w:pStyle w:val="Body A"/>
        <w:spacing w:line="288" w:lineRule="auto"/>
      </w:pPr>
    </w:p>
    <w:p>
      <w:pPr>
        <w:pStyle w:val="Body A"/>
        <w:spacing w:line="288" w:lineRule="auto"/>
        <w:rPr>
          <w:b w:val="1"/>
          <w:bCs w:val="1"/>
          <w:lang w:val="en-US"/>
        </w:rPr>
      </w:pPr>
      <w:r>
        <w:rPr>
          <w:b w:val="1"/>
          <w:bCs w:val="1"/>
          <w:rtl w:val="0"/>
          <w:lang w:val="en-US"/>
        </w:rPr>
        <w:t>7. Debit Card, Credit Card and Online Payments</w:t>
      </w:r>
    </w:p>
    <w:p>
      <w:pPr>
        <w:pStyle w:val="Body A"/>
        <w:spacing w:line="288" w:lineRule="auto"/>
      </w:pPr>
    </w:p>
    <w:p>
      <w:pPr>
        <w:pStyle w:val="Body A"/>
        <w:spacing w:line="288" w:lineRule="auto"/>
        <w:rPr>
          <w:lang w:val="en-US"/>
        </w:rPr>
      </w:pPr>
      <w:r>
        <w:rPr>
          <w:rtl w:val="0"/>
          <w:lang w:val="en-US"/>
        </w:rPr>
        <w:t>Hayhills accepts payment by:</w:t>
      </w:r>
    </w:p>
    <w:p>
      <w:pPr>
        <w:pStyle w:val="Body A"/>
        <w:spacing w:line="288" w:lineRule="auto"/>
      </w:pPr>
    </w:p>
    <w:p>
      <w:pPr>
        <w:pStyle w:val="Body A"/>
        <w:spacing w:line="288" w:lineRule="auto"/>
        <w:rPr>
          <w:lang w:val="en-US"/>
        </w:rPr>
      </w:pPr>
      <w:r>
        <w:rPr>
          <w:rtl w:val="0"/>
          <w:lang w:val="en-US"/>
        </w:rPr>
        <w:t>* bank transfer;</w:t>
      </w:r>
    </w:p>
    <w:p>
      <w:pPr>
        <w:pStyle w:val="Body A"/>
        <w:spacing w:line="288" w:lineRule="auto"/>
        <w:rPr>
          <w:lang w:val="en-US"/>
        </w:rPr>
      </w:pPr>
    </w:p>
    <w:p>
      <w:pPr>
        <w:pStyle w:val="Body A"/>
        <w:spacing w:line="288" w:lineRule="auto"/>
        <w:rPr>
          <w:lang w:val="en-US"/>
        </w:rPr>
      </w:pPr>
      <w:r>
        <w:rPr>
          <w:rtl w:val="0"/>
          <w:lang w:val="en-US"/>
        </w:rPr>
        <w:t>* debit card;</w:t>
      </w:r>
    </w:p>
    <w:p>
      <w:pPr>
        <w:pStyle w:val="Body A"/>
        <w:spacing w:line="288" w:lineRule="auto"/>
        <w:rPr>
          <w:lang w:val="en-US"/>
        </w:rPr>
      </w:pPr>
      <w:r>
        <w:rPr>
          <w:rtl w:val="0"/>
          <w:lang w:val="en-US"/>
        </w:rPr>
        <w:t>* credit card;</w:t>
      </w:r>
    </w:p>
    <w:p>
      <w:pPr>
        <w:pStyle w:val="Body A"/>
        <w:spacing w:line="288" w:lineRule="auto"/>
        <w:rPr>
          <w:lang w:val="en-US"/>
        </w:rPr>
      </w:pPr>
      <w:r>
        <w:rPr>
          <w:rtl w:val="0"/>
          <w:lang w:val="en-US"/>
        </w:rPr>
        <w:t>* payment link;</w:t>
      </w:r>
    </w:p>
    <w:p>
      <w:pPr>
        <w:pStyle w:val="Body A"/>
        <w:spacing w:line="288" w:lineRule="auto"/>
        <w:rPr>
          <w:lang w:val="en-US"/>
        </w:rPr>
      </w:pPr>
      <w:r>
        <w:rPr>
          <w:rtl w:val="0"/>
          <w:lang w:val="en-US"/>
        </w:rPr>
        <w:t>* and other approved electronic payment methods.</w:t>
      </w:r>
    </w:p>
    <w:p>
      <w:pPr>
        <w:pStyle w:val="Body A"/>
        <w:spacing w:line="288" w:lineRule="auto"/>
      </w:pPr>
    </w:p>
    <w:p>
      <w:pPr>
        <w:pStyle w:val="Body A"/>
        <w:spacing w:line="288" w:lineRule="auto"/>
        <w:rPr>
          <w:lang w:val="en-US"/>
        </w:rPr>
      </w:pPr>
      <w:r>
        <w:rPr>
          <w:rtl w:val="0"/>
          <w:lang w:val="en-US"/>
        </w:rPr>
        <w:t>Clients may be requested to provide debit or credit card details in connection with:</w:t>
      </w:r>
    </w:p>
    <w:p>
      <w:pPr>
        <w:pStyle w:val="Body A"/>
        <w:spacing w:line="288" w:lineRule="auto"/>
      </w:pPr>
    </w:p>
    <w:p>
      <w:pPr>
        <w:pStyle w:val="Body A"/>
        <w:spacing w:line="288" w:lineRule="auto"/>
        <w:rPr>
          <w:lang w:val="fr-FR"/>
        </w:rPr>
      </w:pPr>
      <w:r>
        <w:rPr>
          <w:rtl w:val="0"/>
          <w:lang w:val="fr-FR"/>
        </w:rPr>
        <w:t>* consultations;</w:t>
      </w:r>
    </w:p>
    <w:p>
      <w:pPr>
        <w:pStyle w:val="Body A"/>
        <w:spacing w:line="288" w:lineRule="auto"/>
        <w:rPr>
          <w:lang w:val="en-US"/>
        </w:rPr>
      </w:pPr>
      <w:r>
        <w:rPr>
          <w:rtl w:val="0"/>
          <w:lang w:val="en-US"/>
        </w:rPr>
        <w:t>* retainers;</w:t>
      </w:r>
    </w:p>
    <w:p>
      <w:pPr>
        <w:pStyle w:val="Body A"/>
        <w:spacing w:line="288" w:lineRule="auto"/>
        <w:rPr>
          <w:lang w:val="en-US"/>
        </w:rPr>
      </w:pPr>
      <w:r>
        <w:rPr>
          <w:rtl w:val="0"/>
          <w:lang w:val="en-US"/>
        </w:rPr>
        <w:t>* staged payments;</w:t>
      </w:r>
    </w:p>
    <w:p>
      <w:pPr>
        <w:pStyle w:val="Body A"/>
        <w:spacing w:line="288" w:lineRule="auto"/>
        <w:rPr>
          <w:lang w:val="en-US"/>
        </w:rPr>
      </w:pPr>
      <w:r>
        <w:rPr>
          <w:rtl w:val="0"/>
          <w:lang w:val="en-US"/>
        </w:rPr>
        <w:t>* recurring advisory services;</w:t>
      </w:r>
    </w:p>
    <w:p>
      <w:pPr>
        <w:pStyle w:val="Body A"/>
        <w:spacing w:line="288" w:lineRule="auto"/>
        <w:rPr>
          <w:lang w:val="en-US"/>
        </w:rPr>
      </w:pPr>
      <w:r>
        <w:rPr>
          <w:rtl w:val="0"/>
          <w:lang w:val="en-US"/>
        </w:rPr>
        <w:t>* or authorised future charges.</w:t>
      </w:r>
    </w:p>
    <w:p>
      <w:pPr>
        <w:pStyle w:val="Body A"/>
        <w:spacing w:line="288" w:lineRule="auto"/>
      </w:pPr>
    </w:p>
    <w:p>
      <w:pPr>
        <w:pStyle w:val="Body A"/>
        <w:spacing w:line="288" w:lineRule="auto"/>
        <w:rPr>
          <w:lang w:val="en-US"/>
        </w:rPr>
      </w:pPr>
      <w:r>
        <w:rPr>
          <w:rtl w:val="0"/>
          <w:lang w:val="en-US"/>
        </w:rPr>
        <w:t>By providing payment details, clients authorise Hayhills to process:</w:t>
      </w:r>
    </w:p>
    <w:p>
      <w:pPr>
        <w:pStyle w:val="Body A"/>
        <w:spacing w:line="288" w:lineRule="auto"/>
      </w:pPr>
    </w:p>
    <w:p>
      <w:pPr>
        <w:pStyle w:val="Body A"/>
        <w:spacing w:line="288" w:lineRule="auto"/>
        <w:rPr>
          <w:lang w:val="en-US"/>
        </w:rPr>
      </w:pPr>
      <w:r>
        <w:rPr>
          <w:rtl w:val="0"/>
          <w:lang w:val="en-US"/>
        </w:rPr>
        <w:t>* agreed consultation fees;</w:t>
      </w:r>
    </w:p>
    <w:p>
      <w:pPr>
        <w:pStyle w:val="Body A"/>
        <w:spacing w:line="288" w:lineRule="auto"/>
        <w:rPr>
          <w:lang w:val="en-US"/>
        </w:rPr>
      </w:pPr>
      <w:r>
        <w:rPr>
          <w:rtl w:val="0"/>
          <w:lang w:val="en-US"/>
        </w:rPr>
        <w:t>* approved invoices;</w:t>
      </w:r>
    </w:p>
    <w:p>
      <w:pPr>
        <w:pStyle w:val="Body A"/>
        <w:spacing w:line="288" w:lineRule="auto"/>
        <w:rPr>
          <w:lang w:val="en-US"/>
        </w:rPr>
      </w:pPr>
      <w:r>
        <w:rPr>
          <w:rtl w:val="0"/>
          <w:lang w:val="en-US"/>
        </w:rPr>
        <w:t>* recurring retainers;</w:t>
      </w:r>
    </w:p>
    <w:p>
      <w:pPr>
        <w:pStyle w:val="Body A"/>
        <w:spacing w:line="288" w:lineRule="auto"/>
        <w:rPr>
          <w:lang w:val="en-US"/>
        </w:rPr>
      </w:pPr>
      <w:r>
        <w:rPr>
          <w:rtl w:val="0"/>
          <w:lang w:val="en-US"/>
        </w:rPr>
        <w:t>* replenishment payments;</w:t>
      </w:r>
    </w:p>
    <w:p>
      <w:pPr>
        <w:pStyle w:val="Body A"/>
        <w:spacing w:line="288" w:lineRule="auto"/>
        <w:rPr>
          <w:lang w:val="en-US"/>
        </w:rPr>
      </w:pPr>
      <w:r>
        <w:rPr>
          <w:rtl w:val="0"/>
          <w:lang w:val="en-US"/>
        </w:rPr>
        <w:t>* or other authorised charges relating to the engagement.</w:t>
      </w:r>
    </w:p>
    <w:p>
      <w:pPr>
        <w:pStyle w:val="Body A"/>
        <w:spacing w:line="288" w:lineRule="auto"/>
      </w:pPr>
    </w:p>
    <w:p>
      <w:pPr>
        <w:pStyle w:val="Body A"/>
        <w:spacing w:line="288" w:lineRule="auto"/>
        <w:rPr>
          <w:lang w:val="en-US"/>
        </w:rPr>
      </w:pPr>
      <w:r>
        <w:rPr>
          <w:rtl w:val="0"/>
          <w:lang w:val="en-US"/>
        </w:rPr>
        <w:t>Clients remain responsible for ensuring valid payment details and sufficient funds are available.</w:t>
      </w:r>
    </w:p>
    <w:p>
      <w:pPr>
        <w:pStyle w:val="Body A"/>
        <w:spacing w:line="288" w:lineRule="auto"/>
      </w:pPr>
    </w:p>
    <w:p>
      <w:pPr>
        <w:pStyle w:val="Body A"/>
        <w:spacing w:line="288" w:lineRule="auto"/>
        <w:rPr>
          <w:b w:val="1"/>
          <w:bCs w:val="1"/>
          <w:lang w:val="en-US"/>
        </w:rPr>
      </w:pPr>
      <w:r>
        <w:rPr>
          <w:b w:val="1"/>
          <w:bCs w:val="1"/>
          <w:rtl w:val="0"/>
          <w:lang w:val="en-US"/>
        </w:rPr>
        <w:t>8. Pre-Authorised Payment Authority and Payments on Account</w:t>
      </w:r>
    </w:p>
    <w:p>
      <w:pPr>
        <w:pStyle w:val="Body A"/>
        <w:spacing w:line="288" w:lineRule="auto"/>
        <w:rPr>
          <w:b w:val="1"/>
          <w:bCs w:val="1"/>
        </w:rPr>
      </w:pPr>
    </w:p>
    <w:p>
      <w:pPr>
        <w:pStyle w:val="Body A"/>
        <w:spacing w:line="288" w:lineRule="auto"/>
      </w:pPr>
      <w:r>
        <w:rPr>
          <w:rtl w:val="0"/>
          <w:lang w:val="en-US"/>
        </w:rPr>
        <w:t xml:space="preserve">In order to facilitate efficient handling of matters and minimise interruption to advisory services, Hayhills may require clients to maintain funds on account and </w:t>
      </w:r>
      <w:r>
        <w:rPr>
          <w:rtl w:val="0"/>
          <w:lang w:val="da-DK"/>
        </w:rPr>
        <w:t>/</w:t>
      </w:r>
      <w:r>
        <w:rPr>
          <w:rtl w:val="0"/>
          <w:lang w:val="en-US"/>
        </w:rPr>
        <w:t xml:space="preserve"> or provide a pre-authorised payment arrangement as a condition of engagement.</w:t>
      </w:r>
    </w:p>
    <w:p>
      <w:pPr>
        <w:pStyle w:val="Body A"/>
        <w:spacing w:line="288" w:lineRule="auto"/>
      </w:pPr>
    </w:p>
    <w:p>
      <w:pPr>
        <w:pStyle w:val="Body A"/>
        <w:spacing w:line="288" w:lineRule="auto"/>
      </w:pPr>
      <w:r>
        <w:rPr>
          <w:rtl w:val="0"/>
          <w:lang w:val="en-US"/>
        </w:rPr>
        <w:t>Where requested by Hayhills, the client agrees to provide valid debit card, credit card or other approved payment details through Hayhills</w:t>
      </w:r>
      <w:r>
        <w:rPr>
          <w:rFonts w:ascii="Arial Unicode MS" w:hAnsi="Arial Unicode MS" w:hint="default"/>
          <w:rtl w:val="1"/>
          <w:lang w:val="ar-SA" w:bidi="ar-SA"/>
        </w:rPr>
        <w:t xml:space="preserve">’ </w:t>
      </w:r>
      <w:r>
        <w:rPr>
          <w:rtl w:val="0"/>
          <w:lang w:val="en-US"/>
        </w:rPr>
        <w:t>designated secure payment platform for the purpose of:</w:t>
      </w:r>
    </w:p>
    <w:p>
      <w:pPr>
        <w:pStyle w:val="Body A"/>
        <w:spacing w:line="288" w:lineRule="auto"/>
      </w:pPr>
    </w:p>
    <w:p>
      <w:pPr>
        <w:pStyle w:val="Body A"/>
        <w:spacing w:line="288" w:lineRule="auto"/>
        <w:rPr>
          <w:lang w:val="en-US"/>
        </w:rPr>
      </w:pPr>
      <w:r>
        <w:rPr>
          <w:rtl w:val="0"/>
          <w:lang w:val="en-US"/>
        </w:rPr>
        <w:t>* payment of consultation fees;</w:t>
      </w:r>
    </w:p>
    <w:p>
      <w:pPr>
        <w:pStyle w:val="Body A"/>
        <w:spacing w:line="288" w:lineRule="auto"/>
        <w:rPr>
          <w:lang w:val="en-US"/>
        </w:rPr>
      </w:pPr>
      <w:r>
        <w:rPr>
          <w:rtl w:val="0"/>
          <w:lang w:val="en-US"/>
        </w:rPr>
        <w:t>* payments on account;</w:t>
      </w:r>
    </w:p>
    <w:p>
      <w:pPr>
        <w:pStyle w:val="Body A"/>
        <w:spacing w:line="288" w:lineRule="auto"/>
        <w:rPr>
          <w:lang w:val="en-US"/>
        </w:rPr>
      </w:pPr>
      <w:r>
        <w:rPr>
          <w:rtl w:val="0"/>
          <w:lang w:val="en-US"/>
        </w:rPr>
        <w:t>* replenishment of retainers;</w:t>
      </w:r>
    </w:p>
    <w:p>
      <w:pPr>
        <w:pStyle w:val="Body A"/>
        <w:spacing w:line="288" w:lineRule="auto"/>
        <w:rPr>
          <w:lang w:val="en-US"/>
        </w:rPr>
      </w:pPr>
      <w:r>
        <w:rPr>
          <w:rtl w:val="0"/>
          <w:lang w:val="en-US"/>
        </w:rPr>
        <w:t>* staged payments;</w:t>
      </w:r>
    </w:p>
    <w:p>
      <w:pPr>
        <w:pStyle w:val="Body A"/>
        <w:spacing w:line="288" w:lineRule="auto"/>
        <w:rPr>
          <w:lang w:val="en-US"/>
        </w:rPr>
      </w:pPr>
      <w:r>
        <w:rPr>
          <w:rtl w:val="0"/>
          <w:lang w:val="en-US"/>
        </w:rPr>
        <w:t>* recurring advisory fees;</w:t>
      </w:r>
    </w:p>
    <w:p>
      <w:pPr>
        <w:pStyle w:val="Body A"/>
        <w:spacing w:line="288" w:lineRule="auto"/>
        <w:rPr>
          <w:lang w:val="en-US"/>
        </w:rPr>
      </w:pPr>
      <w:r>
        <w:rPr>
          <w:rtl w:val="0"/>
          <w:lang w:val="en-US"/>
        </w:rPr>
        <w:t>* approved invoices;</w:t>
      </w:r>
    </w:p>
    <w:p>
      <w:pPr>
        <w:pStyle w:val="Body A"/>
        <w:spacing w:line="288" w:lineRule="auto"/>
        <w:rPr>
          <w:lang w:val="en-US"/>
        </w:rPr>
      </w:pPr>
      <w:r>
        <w:rPr>
          <w:rtl w:val="0"/>
          <w:lang w:val="en-US"/>
        </w:rPr>
        <w:t>* and other fees or charges arising under the engagement.</w:t>
      </w:r>
    </w:p>
    <w:p>
      <w:pPr>
        <w:pStyle w:val="Body A"/>
        <w:spacing w:line="288" w:lineRule="auto"/>
      </w:pPr>
    </w:p>
    <w:p>
      <w:pPr>
        <w:pStyle w:val="Body A"/>
        <w:spacing w:line="288" w:lineRule="auto"/>
        <w:rPr>
          <w:lang w:val="en-US"/>
        </w:rPr>
      </w:pPr>
    </w:p>
    <w:p>
      <w:pPr>
        <w:pStyle w:val="Body A"/>
        <w:spacing w:line="288" w:lineRule="auto"/>
        <w:rPr>
          <w:lang w:val="en-US"/>
        </w:rPr>
      </w:pPr>
    </w:p>
    <w:p>
      <w:pPr>
        <w:pStyle w:val="Body A"/>
        <w:spacing w:line="288" w:lineRule="auto"/>
        <w:rPr>
          <w:lang w:val="en-US"/>
        </w:rPr>
      </w:pPr>
      <w:r>
        <w:rPr>
          <w:rtl w:val="0"/>
          <w:lang w:val="en-US"/>
        </w:rPr>
        <w:t>Where a pre-authorised payment arrangement is in place, the client authorises Hayhills to process payment for:</w:t>
      </w:r>
    </w:p>
    <w:p>
      <w:pPr>
        <w:pStyle w:val="Body A"/>
        <w:spacing w:line="288" w:lineRule="auto"/>
        <w:rPr>
          <w:lang w:val="en-US"/>
        </w:rPr>
      </w:pPr>
    </w:p>
    <w:p>
      <w:pPr>
        <w:pStyle w:val="Body A"/>
        <w:spacing w:line="288" w:lineRule="auto"/>
        <w:rPr>
          <w:lang w:val="en-US"/>
        </w:rPr>
      </w:pPr>
      <w:r>
        <w:rPr>
          <w:rtl w:val="0"/>
          <w:lang w:val="en-US"/>
        </w:rPr>
        <w:t>* fees incurred in accordance with the agreed scope of services;</w:t>
      </w:r>
    </w:p>
    <w:p>
      <w:pPr>
        <w:pStyle w:val="Body A"/>
        <w:spacing w:line="288" w:lineRule="auto"/>
        <w:rPr>
          <w:lang w:val="en-US"/>
        </w:rPr>
      </w:pPr>
      <w:r>
        <w:rPr>
          <w:rtl w:val="0"/>
          <w:lang w:val="en-US"/>
        </w:rPr>
        <w:t>* invoices rendered;</w:t>
      </w:r>
    </w:p>
    <w:p>
      <w:pPr>
        <w:pStyle w:val="Body A"/>
        <w:spacing w:line="288" w:lineRule="auto"/>
        <w:rPr>
          <w:lang w:val="en-US"/>
        </w:rPr>
      </w:pPr>
      <w:r>
        <w:rPr>
          <w:rtl w:val="0"/>
          <w:lang w:val="en-US"/>
        </w:rPr>
        <w:t>* replenishment of agreed payment-on-account balances;</w:t>
      </w:r>
    </w:p>
    <w:p>
      <w:pPr>
        <w:pStyle w:val="Body A"/>
        <w:spacing w:line="288" w:lineRule="auto"/>
        <w:rPr>
          <w:lang w:val="en-US"/>
        </w:rPr>
      </w:pPr>
      <w:r>
        <w:rPr>
          <w:rtl w:val="0"/>
          <w:lang w:val="en-US"/>
        </w:rPr>
        <w:t>* and authorised charges relating to the matter,</w:t>
      </w:r>
    </w:p>
    <w:p>
      <w:pPr>
        <w:pStyle w:val="Body A"/>
        <w:spacing w:line="288" w:lineRule="auto"/>
      </w:pPr>
    </w:p>
    <w:p>
      <w:pPr>
        <w:pStyle w:val="Body A"/>
        <w:spacing w:line="288" w:lineRule="auto"/>
        <w:rPr>
          <w:lang w:val="en-US"/>
        </w:rPr>
      </w:pPr>
      <w:r>
        <w:rPr>
          <w:rtl w:val="0"/>
          <w:lang w:val="en-US"/>
        </w:rPr>
        <w:t>without requiring separate payment instructions on each occasion.</w:t>
      </w:r>
    </w:p>
    <w:p>
      <w:pPr>
        <w:pStyle w:val="Body A"/>
        <w:spacing w:line="288" w:lineRule="auto"/>
      </w:pPr>
    </w:p>
    <w:p>
      <w:pPr>
        <w:pStyle w:val="Body A"/>
        <w:spacing w:line="288" w:lineRule="auto"/>
        <w:rPr>
          <w:lang w:val="en-US"/>
        </w:rPr>
      </w:pPr>
      <w:r>
        <w:rPr>
          <w:rtl w:val="0"/>
          <w:lang w:val="en-US"/>
        </w:rPr>
        <w:t>Hayhills shall ordinarily provide notice of invoices, fee summaries or replenishment requests prior to processing payment, unless otherwise agreed as part of an ongoing retainer or recurring billing arrangement.</w:t>
      </w:r>
    </w:p>
    <w:p>
      <w:pPr>
        <w:pStyle w:val="Body A"/>
        <w:spacing w:line="288" w:lineRule="auto"/>
      </w:pPr>
    </w:p>
    <w:p>
      <w:pPr>
        <w:pStyle w:val="Body A"/>
        <w:spacing w:line="288" w:lineRule="auto"/>
        <w:rPr>
          <w:lang w:val="en-US"/>
        </w:rPr>
      </w:pPr>
      <w:r>
        <w:rPr>
          <w:rtl w:val="0"/>
          <w:lang w:val="en-US"/>
        </w:rPr>
        <w:t>Where payments on account are maintained, Hayhills reserves the right to draw down against such funds for:</w:t>
      </w:r>
    </w:p>
    <w:p>
      <w:pPr>
        <w:pStyle w:val="Body A"/>
        <w:spacing w:line="288" w:lineRule="auto"/>
      </w:pPr>
    </w:p>
    <w:p>
      <w:pPr>
        <w:pStyle w:val="Body A"/>
        <w:spacing w:line="288" w:lineRule="auto"/>
        <w:rPr>
          <w:lang w:val="en-US"/>
        </w:rPr>
      </w:pPr>
      <w:r>
        <w:rPr>
          <w:rtl w:val="0"/>
          <w:lang w:val="en-US"/>
        </w:rPr>
        <w:t>* professional fees;</w:t>
      </w:r>
    </w:p>
    <w:p>
      <w:pPr>
        <w:pStyle w:val="Body A"/>
        <w:spacing w:line="288" w:lineRule="auto"/>
        <w:rPr>
          <w:lang w:val="en-US"/>
        </w:rPr>
      </w:pPr>
      <w:r>
        <w:rPr>
          <w:rtl w:val="0"/>
          <w:lang w:val="en-US"/>
        </w:rPr>
        <w:t>* agreed disbursements;</w:t>
      </w:r>
    </w:p>
    <w:p>
      <w:pPr>
        <w:pStyle w:val="Body A"/>
        <w:spacing w:line="288" w:lineRule="auto"/>
        <w:rPr>
          <w:lang w:val="en-US"/>
        </w:rPr>
      </w:pPr>
      <w:r>
        <w:rPr>
          <w:rtl w:val="0"/>
          <w:lang w:val="en-US"/>
        </w:rPr>
        <w:t>* external consultant costs;</w:t>
      </w:r>
    </w:p>
    <w:p>
      <w:pPr>
        <w:pStyle w:val="Body A"/>
        <w:spacing w:line="288" w:lineRule="auto"/>
        <w:rPr>
          <w:lang w:val="en-US"/>
        </w:rPr>
      </w:pPr>
      <w:r>
        <w:rPr>
          <w:rtl w:val="0"/>
          <w:lang w:val="en-US"/>
        </w:rPr>
        <w:t>* third-party charges;</w:t>
      </w:r>
    </w:p>
    <w:p>
      <w:pPr>
        <w:pStyle w:val="Body A"/>
        <w:spacing w:line="288" w:lineRule="auto"/>
        <w:rPr>
          <w:lang w:val="en-US"/>
        </w:rPr>
      </w:pPr>
      <w:r>
        <w:rPr>
          <w:rtl w:val="0"/>
          <w:lang w:val="en-US"/>
        </w:rPr>
        <w:t>* and other amounts properly incurred in connection with the engagement.</w:t>
      </w:r>
    </w:p>
    <w:p>
      <w:pPr>
        <w:pStyle w:val="Body A"/>
        <w:spacing w:line="288" w:lineRule="auto"/>
      </w:pPr>
    </w:p>
    <w:p>
      <w:pPr>
        <w:pStyle w:val="Body A"/>
        <w:spacing w:line="288" w:lineRule="auto"/>
        <w:rPr>
          <w:lang w:val="en-US"/>
        </w:rPr>
      </w:pPr>
      <w:r>
        <w:rPr>
          <w:rtl w:val="0"/>
          <w:lang w:val="en-US"/>
        </w:rPr>
        <w:t>Where account balances fall below the level reasonably required to continue work, Hayhills may request replenishment of funds on account and reserves the right to:</w:t>
      </w:r>
    </w:p>
    <w:p>
      <w:pPr>
        <w:pStyle w:val="Body A"/>
        <w:spacing w:line="288" w:lineRule="auto"/>
      </w:pPr>
    </w:p>
    <w:p>
      <w:pPr>
        <w:pStyle w:val="Body A"/>
        <w:spacing w:line="288" w:lineRule="auto"/>
        <w:rPr>
          <w:lang w:val="en-US"/>
        </w:rPr>
      </w:pPr>
      <w:r>
        <w:rPr>
          <w:rtl w:val="0"/>
          <w:lang w:val="en-US"/>
        </w:rPr>
        <w:t>* suspend work;</w:t>
      </w:r>
    </w:p>
    <w:p>
      <w:pPr>
        <w:pStyle w:val="Body A"/>
        <w:spacing w:line="288" w:lineRule="auto"/>
        <w:rPr>
          <w:lang w:val="en-US"/>
        </w:rPr>
      </w:pPr>
      <w:r>
        <w:rPr>
          <w:rtl w:val="0"/>
          <w:lang w:val="en-US"/>
        </w:rPr>
        <w:t>* decline further services;</w:t>
      </w:r>
    </w:p>
    <w:p>
      <w:pPr>
        <w:pStyle w:val="Body A"/>
        <w:spacing w:line="288" w:lineRule="auto"/>
        <w:rPr>
          <w:lang w:val="en-US"/>
        </w:rPr>
      </w:pPr>
      <w:r>
        <w:rPr>
          <w:rtl w:val="0"/>
          <w:lang w:val="en-US"/>
        </w:rPr>
        <w:t>* delay release of work product;</w:t>
      </w:r>
    </w:p>
    <w:p>
      <w:pPr>
        <w:pStyle w:val="Body A"/>
        <w:spacing w:line="288" w:lineRule="auto"/>
        <w:rPr>
          <w:lang w:val="en-US"/>
        </w:rPr>
      </w:pPr>
      <w:r>
        <w:rPr>
          <w:rtl w:val="0"/>
          <w:lang w:val="en-US"/>
        </w:rPr>
        <w:t>* or terminate the engagement,</w:t>
      </w:r>
    </w:p>
    <w:p>
      <w:pPr>
        <w:pStyle w:val="Body A"/>
        <w:spacing w:line="288" w:lineRule="auto"/>
      </w:pPr>
    </w:p>
    <w:p>
      <w:pPr>
        <w:pStyle w:val="Body A"/>
        <w:spacing w:line="288" w:lineRule="auto"/>
        <w:rPr>
          <w:lang w:val="en-US"/>
        </w:rPr>
      </w:pPr>
      <w:r>
        <w:rPr>
          <w:rtl w:val="0"/>
          <w:lang w:val="en-US"/>
        </w:rPr>
        <w:t>until satisfactory payment arrangements are restored.</w:t>
      </w:r>
    </w:p>
    <w:p>
      <w:pPr>
        <w:pStyle w:val="Body A"/>
        <w:spacing w:line="288" w:lineRule="auto"/>
      </w:pPr>
    </w:p>
    <w:p>
      <w:pPr>
        <w:pStyle w:val="Body A"/>
        <w:spacing w:line="288" w:lineRule="auto"/>
        <w:rPr>
          <w:lang w:val="en-US"/>
        </w:rPr>
      </w:pPr>
      <w:r>
        <w:rPr>
          <w:rtl w:val="0"/>
          <w:lang w:val="en-US"/>
        </w:rPr>
        <w:t>Clients remain responsible for:</w:t>
      </w:r>
    </w:p>
    <w:p>
      <w:pPr>
        <w:pStyle w:val="Body A"/>
        <w:spacing w:line="288" w:lineRule="auto"/>
      </w:pPr>
    </w:p>
    <w:p>
      <w:pPr>
        <w:pStyle w:val="Body A"/>
        <w:spacing w:line="288" w:lineRule="auto"/>
        <w:rPr>
          <w:lang w:val="en-US"/>
        </w:rPr>
      </w:pPr>
      <w:r>
        <w:rPr>
          <w:rtl w:val="0"/>
          <w:lang w:val="en-US"/>
        </w:rPr>
        <w:t>* ensuring payment details remain valid;</w:t>
      </w:r>
    </w:p>
    <w:p>
      <w:pPr>
        <w:pStyle w:val="Body A"/>
        <w:spacing w:line="288" w:lineRule="auto"/>
        <w:rPr>
          <w:lang w:val="en-US"/>
        </w:rPr>
      </w:pPr>
      <w:r>
        <w:rPr>
          <w:rtl w:val="0"/>
          <w:lang w:val="en-US"/>
        </w:rPr>
        <w:t>* maintaining sufficient available funds;</w:t>
      </w:r>
    </w:p>
    <w:p>
      <w:pPr>
        <w:pStyle w:val="Body A"/>
        <w:spacing w:line="288" w:lineRule="auto"/>
        <w:rPr>
          <w:lang w:val="en-US"/>
        </w:rPr>
      </w:pPr>
      <w:r>
        <w:rPr>
          <w:rtl w:val="0"/>
          <w:lang w:val="en-US"/>
        </w:rPr>
        <w:t>* and promptly notifying Hayhills of any changes affecting payment arrangements.</w:t>
      </w:r>
    </w:p>
    <w:p>
      <w:pPr>
        <w:pStyle w:val="Body A"/>
        <w:spacing w:line="288" w:lineRule="auto"/>
      </w:pPr>
    </w:p>
    <w:p>
      <w:pPr>
        <w:pStyle w:val="Body A"/>
        <w:spacing w:line="288" w:lineRule="auto"/>
        <w:rPr>
          <w:lang w:val="en-US"/>
        </w:rPr>
      </w:pPr>
      <w:r>
        <w:rPr>
          <w:rtl w:val="0"/>
          <w:lang w:val="en-US"/>
        </w:rPr>
        <w:t>All payment information shall be processed through secure third-party payment providers. Hayhills does not retain full debit or credit card details directly within its own systems.</w:t>
      </w:r>
    </w:p>
    <w:p>
      <w:pPr>
        <w:pStyle w:val="Body A"/>
        <w:spacing w:line="288" w:lineRule="auto"/>
      </w:pPr>
    </w:p>
    <w:p>
      <w:pPr>
        <w:pStyle w:val="Body A"/>
        <w:spacing w:line="288" w:lineRule="auto"/>
      </w:pPr>
    </w:p>
    <w:p>
      <w:pPr>
        <w:pStyle w:val="Body A"/>
        <w:spacing w:line="288" w:lineRule="auto"/>
        <w:rPr>
          <w:lang w:val="en-US"/>
        </w:rPr>
      </w:pPr>
    </w:p>
    <w:p>
      <w:pPr>
        <w:pStyle w:val="Body A"/>
        <w:spacing w:line="288" w:lineRule="auto"/>
        <w:rPr>
          <w:b w:val="1"/>
          <w:bCs w:val="1"/>
          <w:lang w:val="en-US"/>
        </w:rPr>
      </w:pPr>
      <w:r>
        <w:rPr>
          <w:b w:val="1"/>
          <w:bCs w:val="1"/>
          <w:rtl w:val="0"/>
          <w:lang w:val="en-US"/>
        </w:rPr>
        <w:t>9. Third-Party Professionals and Referrals</w:t>
      </w:r>
    </w:p>
    <w:p>
      <w:pPr>
        <w:pStyle w:val="Body A"/>
        <w:spacing w:line="288" w:lineRule="auto"/>
      </w:pPr>
    </w:p>
    <w:p>
      <w:pPr>
        <w:pStyle w:val="Body A"/>
        <w:spacing w:line="288" w:lineRule="auto"/>
        <w:rPr>
          <w:lang w:val="en-US"/>
        </w:rPr>
      </w:pPr>
      <w:r>
        <w:rPr>
          <w:rtl w:val="0"/>
          <w:lang w:val="en-US"/>
        </w:rPr>
        <w:t>Where appropriate, Hayhills may recommend or facilitate introductions to:</w:t>
      </w:r>
    </w:p>
    <w:p>
      <w:pPr>
        <w:pStyle w:val="Body A"/>
        <w:spacing w:line="288" w:lineRule="auto"/>
      </w:pPr>
    </w:p>
    <w:p>
      <w:pPr>
        <w:pStyle w:val="Body A"/>
        <w:spacing w:line="288" w:lineRule="auto"/>
        <w:rPr>
          <w:lang w:val="en-US"/>
        </w:rPr>
      </w:pPr>
      <w:r>
        <w:rPr>
          <w:rtl w:val="0"/>
          <w:lang w:val="en-US"/>
        </w:rPr>
        <w:t>* solicitors;</w:t>
      </w:r>
    </w:p>
    <w:p>
      <w:pPr>
        <w:pStyle w:val="Body A"/>
        <w:spacing w:line="288" w:lineRule="auto"/>
        <w:rPr>
          <w:lang w:val="en-US"/>
        </w:rPr>
      </w:pPr>
      <w:r>
        <w:rPr>
          <w:rtl w:val="0"/>
          <w:lang w:val="en-US"/>
        </w:rPr>
        <w:t>* barristers;</w:t>
      </w:r>
    </w:p>
    <w:p>
      <w:pPr>
        <w:pStyle w:val="Body A"/>
        <w:spacing w:line="288" w:lineRule="auto"/>
        <w:rPr>
          <w:lang w:val="en-US"/>
        </w:rPr>
      </w:pPr>
      <w:r>
        <w:rPr>
          <w:rtl w:val="0"/>
          <w:lang w:val="en-US"/>
        </w:rPr>
        <w:t>* accountants;</w:t>
      </w:r>
    </w:p>
    <w:p>
      <w:pPr>
        <w:pStyle w:val="Body A"/>
        <w:spacing w:line="288" w:lineRule="auto"/>
        <w:rPr>
          <w:lang w:val="en-US"/>
        </w:rPr>
      </w:pPr>
      <w:r>
        <w:rPr>
          <w:rtl w:val="0"/>
          <w:lang w:val="en-US"/>
        </w:rPr>
        <w:t>* foreign lawyers;</w:t>
      </w:r>
    </w:p>
    <w:p>
      <w:pPr>
        <w:pStyle w:val="Body A"/>
        <w:spacing w:line="288" w:lineRule="auto"/>
        <w:rPr>
          <w:lang w:val="en-US"/>
        </w:rPr>
      </w:pPr>
      <w:r>
        <w:rPr>
          <w:rtl w:val="0"/>
          <w:lang w:val="en-US"/>
        </w:rPr>
        <w:t>* experts;</w:t>
      </w:r>
    </w:p>
    <w:p>
      <w:pPr>
        <w:pStyle w:val="Body A"/>
        <w:spacing w:line="288" w:lineRule="auto"/>
        <w:rPr>
          <w:lang w:val="fr-FR"/>
        </w:rPr>
      </w:pPr>
      <w:r>
        <w:rPr>
          <w:rtl w:val="0"/>
          <w:lang w:val="fr-FR"/>
        </w:rPr>
        <w:t>* consultants;</w:t>
      </w:r>
    </w:p>
    <w:p>
      <w:pPr>
        <w:pStyle w:val="Body A"/>
        <w:spacing w:line="288" w:lineRule="auto"/>
        <w:rPr>
          <w:lang w:val="en-US"/>
        </w:rPr>
      </w:pPr>
      <w:r>
        <w:rPr>
          <w:rtl w:val="0"/>
          <w:lang w:val="en-US"/>
        </w:rPr>
        <w:t>* or other professional advisers.</w:t>
      </w:r>
    </w:p>
    <w:p>
      <w:pPr>
        <w:pStyle w:val="Body A"/>
        <w:spacing w:line="288" w:lineRule="auto"/>
      </w:pPr>
    </w:p>
    <w:p>
      <w:pPr>
        <w:pStyle w:val="Body A"/>
        <w:spacing w:line="288" w:lineRule="auto"/>
        <w:rPr>
          <w:lang w:val="en-US"/>
        </w:rPr>
      </w:pPr>
      <w:r>
        <w:rPr>
          <w:rtl w:val="0"/>
          <w:lang w:val="en-US"/>
        </w:rPr>
        <w:t>Such professionals remain entirely independent and separately responsible for:</w:t>
      </w:r>
    </w:p>
    <w:p>
      <w:pPr>
        <w:pStyle w:val="Body A"/>
        <w:spacing w:line="288" w:lineRule="auto"/>
      </w:pPr>
    </w:p>
    <w:p>
      <w:pPr>
        <w:pStyle w:val="Body A"/>
        <w:spacing w:line="288" w:lineRule="auto"/>
        <w:rPr>
          <w:lang w:val="en-US"/>
        </w:rPr>
      </w:pPr>
      <w:r>
        <w:rPr>
          <w:rtl w:val="0"/>
          <w:lang w:val="en-US"/>
        </w:rPr>
        <w:t>* their own advice;</w:t>
      </w:r>
    </w:p>
    <w:p>
      <w:pPr>
        <w:pStyle w:val="Body A"/>
        <w:spacing w:line="288" w:lineRule="auto"/>
        <w:rPr>
          <w:lang w:val="fr-FR"/>
        </w:rPr>
      </w:pPr>
      <w:r>
        <w:rPr>
          <w:rtl w:val="0"/>
          <w:lang w:val="fr-FR"/>
        </w:rPr>
        <w:t>* services;</w:t>
      </w:r>
    </w:p>
    <w:p>
      <w:pPr>
        <w:pStyle w:val="Body A"/>
        <w:spacing w:line="288" w:lineRule="auto"/>
        <w:rPr>
          <w:lang w:val="en-US"/>
        </w:rPr>
      </w:pPr>
      <w:r>
        <w:rPr>
          <w:rtl w:val="0"/>
          <w:lang w:val="en-US"/>
        </w:rPr>
        <w:t>* conduct;</w:t>
      </w:r>
    </w:p>
    <w:p>
      <w:pPr>
        <w:pStyle w:val="Body A"/>
        <w:spacing w:line="288" w:lineRule="auto"/>
        <w:rPr>
          <w:lang w:val="en-US"/>
        </w:rPr>
      </w:pPr>
      <w:r>
        <w:rPr>
          <w:rtl w:val="0"/>
          <w:lang w:val="en-US"/>
        </w:rPr>
        <w:t>* fees;</w:t>
      </w:r>
    </w:p>
    <w:p>
      <w:pPr>
        <w:pStyle w:val="Body A"/>
        <w:spacing w:line="288" w:lineRule="auto"/>
        <w:rPr>
          <w:lang w:val="en-US"/>
        </w:rPr>
      </w:pPr>
      <w:r>
        <w:rPr>
          <w:rtl w:val="0"/>
          <w:lang w:val="en-US"/>
        </w:rPr>
        <w:t>* and regulatory obligations.</w:t>
      </w:r>
    </w:p>
    <w:p>
      <w:pPr>
        <w:pStyle w:val="Body A"/>
        <w:spacing w:line="288" w:lineRule="auto"/>
      </w:pPr>
    </w:p>
    <w:p>
      <w:pPr>
        <w:pStyle w:val="Body A"/>
        <w:spacing w:line="288" w:lineRule="auto"/>
        <w:rPr>
          <w:lang w:val="en-US"/>
        </w:rPr>
      </w:pPr>
      <w:r>
        <w:rPr>
          <w:rtl w:val="0"/>
          <w:lang w:val="en-US"/>
        </w:rPr>
        <w:t>Hayhills accepts no responsibility or liability for third-party professional services unless expressly agreed otherwise in writing.</w:t>
      </w:r>
    </w:p>
    <w:p>
      <w:pPr>
        <w:pStyle w:val="Body A"/>
        <w:spacing w:line="288" w:lineRule="auto"/>
      </w:pPr>
    </w:p>
    <w:p>
      <w:pPr>
        <w:pStyle w:val="Body A"/>
        <w:spacing w:line="288" w:lineRule="auto"/>
        <w:rPr>
          <w:b w:val="1"/>
          <w:bCs w:val="1"/>
          <w:lang w:val="en-US"/>
        </w:rPr>
      </w:pPr>
      <w:r>
        <w:rPr>
          <w:b w:val="1"/>
          <w:bCs w:val="1"/>
          <w:rtl w:val="0"/>
          <w:lang w:val="en-US"/>
        </w:rPr>
        <w:t>10. Communication and Service Standards</w:t>
      </w:r>
    </w:p>
    <w:p>
      <w:pPr>
        <w:pStyle w:val="Body A"/>
        <w:spacing w:line="288" w:lineRule="auto"/>
      </w:pPr>
    </w:p>
    <w:p>
      <w:pPr>
        <w:pStyle w:val="Body A"/>
        <w:spacing w:line="288" w:lineRule="auto"/>
        <w:rPr>
          <w:lang w:val="en-US"/>
        </w:rPr>
      </w:pPr>
      <w:r>
        <w:rPr>
          <w:rtl w:val="0"/>
          <w:lang w:val="en-US"/>
        </w:rPr>
        <w:t>Hayhills aims to provide:</w:t>
      </w:r>
    </w:p>
    <w:p>
      <w:pPr>
        <w:pStyle w:val="Body A"/>
        <w:spacing w:line="288" w:lineRule="auto"/>
      </w:pPr>
    </w:p>
    <w:p>
      <w:pPr>
        <w:pStyle w:val="Body A"/>
        <w:spacing w:line="288" w:lineRule="auto"/>
        <w:rPr>
          <w:lang w:val="en-US"/>
        </w:rPr>
      </w:pPr>
      <w:r>
        <w:rPr>
          <w:rtl w:val="0"/>
          <w:lang w:val="en-US"/>
        </w:rPr>
        <w:t>* responsive communication;</w:t>
      </w:r>
    </w:p>
    <w:p>
      <w:pPr>
        <w:pStyle w:val="Body A"/>
        <w:spacing w:line="288" w:lineRule="auto"/>
        <w:rPr>
          <w:lang w:val="en-US"/>
        </w:rPr>
      </w:pPr>
      <w:r>
        <w:rPr>
          <w:rtl w:val="0"/>
          <w:lang w:val="en-US"/>
        </w:rPr>
        <w:t>* commercially practical guidance;</w:t>
      </w:r>
    </w:p>
    <w:p>
      <w:pPr>
        <w:pStyle w:val="Body A"/>
        <w:spacing w:line="288" w:lineRule="auto"/>
        <w:rPr>
          <w:lang w:val="en-US"/>
        </w:rPr>
      </w:pPr>
      <w:r>
        <w:rPr>
          <w:rtl w:val="0"/>
          <w:lang w:val="en-US"/>
        </w:rPr>
        <w:t>* efficient handling;</w:t>
      </w:r>
    </w:p>
    <w:p>
      <w:pPr>
        <w:pStyle w:val="Body A"/>
        <w:spacing w:line="288" w:lineRule="auto"/>
        <w:rPr>
          <w:lang w:val="en-US"/>
        </w:rPr>
      </w:pPr>
      <w:r>
        <w:rPr>
          <w:rtl w:val="0"/>
          <w:lang w:val="en-US"/>
        </w:rPr>
        <w:t>* and professional advisory support.</w:t>
      </w:r>
    </w:p>
    <w:p>
      <w:pPr>
        <w:pStyle w:val="Body A"/>
        <w:spacing w:line="288" w:lineRule="auto"/>
      </w:pPr>
    </w:p>
    <w:p>
      <w:pPr>
        <w:pStyle w:val="Body A"/>
        <w:spacing w:line="288" w:lineRule="auto"/>
        <w:rPr>
          <w:lang w:val="en-US"/>
        </w:rPr>
      </w:pPr>
      <w:r>
        <w:rPr>
          <w:rtl w:val="0"/>
          <w:lang w:val="en-US"/>
        </w:rPr>
        <w:t>Unless otherwise agreed, communication may take place through:</w:t>
      </w:r>
    </w:p>
    <w:p>
      <w:pPr>
        <w:pStyle w:val="Body A"/>
        <w:spacing w:line="288" w:lineRule="auto"/>
      </w:pPr>
    </w:p>
    <w:p>
      <w:pPr>
        <w:pStyle w:val="Body A"/>
        <w:spacing w:line="288" w:lineRule="auto"/>
        <w:rPr>
          <w:lang w:val="en-US"/>
        </w:rPr>
      </w:pPr>
      <w:r>
        <w:rPr>
          <w:rtl w:val="0"/>
          <w:lang w:val="en-US"/>
        </w:rPr>
        <w:t>* email;</w:t>
      </w:r>
    </w:p>
    <w:p>
      <w:pPr>
        <w:pStyle w:val="Body A"/>
        <w:spacing w:line="288" w:lineRule="auto"/>
        <w:rPr>
          <w:lang w:val="en-US"/>
        </w:rPr>
      </w:pPr>
      <w:r>
        <w:rPr>
          <w:rtl w:val="0"/>
          <w:lang w:val="en-US"/>
        </w:rPr>
        <w:t>* telephone;</w:t>
      </w:r>
    </w:p>
    <w:p>
      <w:pPr>
        <w:pStyle w:val="Body A"/>
        <w:spacing w:line="288" w:lineRule="auto"/>
        <w:rPr>
          <w:lang w:val="en-US"/>
        </w:rPr>
      </w:pPr>
      <w:r>
        <w:rPr>
          <w:rtl w:val="0"/>
          <w:lang w:val="en-US"/>
        </w:rPr>
        <w:t>* video conferencing;</w:t>
      </w:r>
    </w:p>
    <w:p>
      <w:pPr>
        <w:pStyle w:val="Body A"/>
        <w:spacing w:line="288" w:lineRule="auto"/>
        <w:rPr>
          <w:lang w:val="en-US"/>
        </w:rPr>
      </w:pPr>
      <w:r>
        <w:rPr>
          <w:rtl w:val="0"/>
          <w:lang w:val="en-US"/>
        </w:rPr>
        <w:t>* secure document sharing platforms;</w:t>
      </w:r>
    </w:p>
    <w:p>
      <w:pPr>
        <w:pStyle w:val="Body A"/>
        <w:spacing w:line="288" w:lineRule="auto"/>
        <w:rPr>
          <w:lang w:val="en-US"/>
        </w:rPr>
      </w:pPr>
      <w:r>
        <w:rPr>
          <w:rtl w:val="0"/>
          <w:lang w:val="en-US"/>
        </w:rPr>
        <w:t>* and other electronic means.</w:t>
      </w:r>
    </w:p>
    <w:p>
      <w:pPr>
        <w:pStyle w:val="Body A"/>
        <w:spacing w:line="288" w:lineRule="auto"/>
      </w:pPr>
    </w:p>
    <w:p>
      <w:pPr>
        <w:pStyle w:val="Body A"/>
        <w:spacing w:line="288" w:lineRule="auto"/>
      </w:pPr>
    </w:p>
    <w:p>
      <w:pPr>
        <w:pStyle w:val="Body A"/>
        <w:spacing w:line="288" w:lineRule="auto"/>
      </w:pPr>
    </w:p>
    <w:p>
      <w:pPr>
        <w:pStyle w:val="Body A"/>
        <w:spacing w:line="288" w:lineRule="auto"/>
      </w:pPr>
    </w:p>
    <w:p>
      <w:pPr>
        <w:pStyle w:val="Body A"/>
        <w:spacing w:line="288" w:lineRule="auto"/>
        <w:rPr>
          <w:lang w:val="en-US"/>
        </w:rPr>
      </w:pPr>
    </w:p>
    <w:p>
      <w:pPr>
        <w:pStyle w:val="Body A"/>
        <w:spacing w:line="288" w:lineRule="auto"/>
        <w:rPr>
          <w:lang w:val="en-US"/>
        </w:rPr>
      </w:pPr>
      <w:r>
        <w:rPr>
          <w:rtl w:val="0"/>
          <w:lang w:val="en-US"/>
        </w:rPr>
        <w:t>Clients acknowledge that electronic communication carries inherent risks including:</w:t>
      </w:r>
    </w:p>
    <w:p>
      <w:pPr>
        <w:pStyle w:val="Body A"/>
        <w:spacing w:line="288" w:lineRule="auto"/>
      </w:pPr>
    </w:p>
    <w:p>
      <w:pPr>
        <w:pStyle w:val="Body A"/>
        <w:spacing w:line="288" w:lineRule="auto"/>
        <w:rPr>
          <w:lang w:val="en-US"/>
        </w:rPr>
      </w:pPr>
      <w:r>
        <w:rPr>
          <w:rtl w:val="0"/>
          <w:lang w:val="en-US"/>
        </w:rPr>
        <w:t>* cyber attack;</w:t>
      </w:r>
    </w:p>
    <w:p>
      <w:pPr>
        <w:pStyle w:val="Body A"/>
        <w:spacing w:line="288" w:lineRule="auto"/>
        <w:rPr>
          <w:lang w:val="en-US"/>
        </w:rPr>
      </w:pPr>
      <w:r>
        <w:rPr>
          <w:rtl w:val="0"/>
          <w:lang w:val="en-US"/>
        </w:rPr>
        <w:t>* interception;</w:t>
      </w:r>
    </w:p>
    <w:p>
      <w:pPr>
        <w:pStyle w:val="Body A"/>
        <w:spacing w:line="288" w:lineRule="auto"/>
        <w:rPr>
          <w:lang w:val="fr-FR"/>
        </w:rPr>
      </w:pPr>
      <w:r>
        <w:rPr>
          <w:rtl w:val="0"/>
          <w:lang w:val="fr-FR"/>
        </w:rPr>
        <w:t>* corruption;</w:t>
      </w:r>
    </w:p>
    <w:p>
      <w:pPr>
        <w:pStyle w:val="Body A"/>
        <w:spacing w:line="288" w:lineRule="auto"/>
        <w:rPr>
          <w:lang w:val="en-US"/>
        </w:rPr>
      </w:pPr>
      <w:r>
        <w:rPr>
          <w:rtl w:val="0"/>
          <w:lang w:val="en-US"/>
        </w:rPr>
        <w:t>* delay;</w:t>
      </w:r>
    </w:p>
    <w:p>
      <w:pPr>
        <w:pStyle w:val="Body A"/>
        <w:spacing w:line="288" w:lineRule="auto"/>
        <w:rPr>
          <w:lang w:val="en-US"/>
        </w:rPr>
      </w:pPr>
      <w:r>
        <w:rPr>
          <w:rtl w:val="0"/>
          <w:lang w:val="en-US"/>
        </w:rPr>
        <w:t>* or transmission failure.</w:t>
      </w:r>
    </w:p>
    <w:p>
      <w:pPr>
        <w:pStyle w:val="Body A"/>
        <w:spacing w:line="288" w:lineRule="auto"/>
      </w:pPr>
    </w:p>
    <w:p>
      <w:pPr>
        <w:pStyle w:val="Body A"/>
        <w:spacing w:line="288" w:lineRule="auto"/>
        <w:rPr>
          <w:lang w:val="en-US"/>
        </w:rPr>
      </w:pPr>
      <w:r>
        <w:rPr>
          <w:rtl w:val="0"/>
          <w:lang w:val="en-US"/>
        </w:rPr>
        <w:t>Hayhills shall not be responsible for losses arising from matters beyond its reasonable control relating to electronic communications or cyber incidents.</w:t>
      </w:r>
    </w:p>
    <w:p>
      <w:pPr>
        <w:pStyle w:val="Body A"/>
        <w:spacing w:line="288" w:lineRule="auto"/>
      </w:pPr>
    </w:p>
    <w:p>
      <w:pPr>
        <w:pStyle w:val="Body A"/>
        <w:spacing w:line="288" w:lineRule="auto"/>
        <w:rPr>
          <w:b w:val="1"/>
          <w:bCs w:val="1"/>
          <w:lang w:val="en-US"/>
        </w:rPr>
      </w:pPr>
      <w:r>
        <w:rPr>
          <w:b w:val="1"/>
          <w:bCs w:val="1"/>
          <w:rtl w:val="0"/>
          <w:lang w:val="en-US"/>
        </w:rPr>
        <w:t>11. Confidentiality</w:t>
      </w:r>
    </w:p>
    <w:p>
      <w:pPr>
        <w:pStyle w:val="Body A"/>
        <w:spacing w:line="288" w:lineRule="auto"/>
      </w:pPr>
    </w:p>
    <w:p>
      <w:pPr>
        <w:pStyle w:val="Body A"/>
        <w:spacing w:line="288" w:lineRule="auto"/>
        <w:rPr>
          <w:lang w:val="en-US"/>
        </w:rPr>
      </w:pPr>
      <w:r>
        <w:rPr>
          <w:rtl w:val="0"/>
          <w:lang w:val="en-US"/>
        </w:rPr>
        <w:t>Hayhills shall treat client information confidentially except where disclosure is:</w:t>
      </w:r>
    </w:p>
    <w:p>
      <w:pPr>
        <w:pStyle w:val="Body A"/>
        <w:spacing w:line="288" w:lineRule="auto"/>
      </w:pPr>
    </w:p>
    <w:p>
      <w:pPr>
        <w:pStyle w:val="Body A"/>
        <w:spacing w:line="288" w:lineRule="auto"/>
        <w:rPr>
          <w:lang w:val="en-US"/>
        </w:rPr>
      </w:pPr>
      <w:r>
        <w:rPr>
          <w:rtl w:val="0"/>
          <w:lang w:val="en-US"/>
        </w:rPr>
        <w:t>* authorised;</w:t>
      </w:r>
    </w:p>
    <w:p>
      <w:pPr>
        <w:pStyle w:val="Body A"/>
        <w:spacing w:line="288" w:lineRule="auto"/>
        <w:rPr>
          <w:lang w:val="en-US"/>
        </w:rPr>
      </w:pPr>
      <w:r>
        <w:rPr>
          <w:rtl w:val="0"/>
          <w:lang w:val="en-US"/>
        </w:rPr>
        <w:t>* reasonably necessary for advisory services;</w:t>
      </w:r>
    </w:p>
    <w:p>
      <w:pPr>
        <w:pStyle w:val="Body A"/>
        <w:spacing w:line="288" w:lineRule="auto"/>
        <w:rPr>
          <w:lang w:val="en-US"/>
        </w:rPr>
      </w:pPr>
      <w:r>
        <w:rPr>
          <w:rtl w:val="0"/>
          <w:lang w:val="en-US"/>
        </w:rPr>
        <w:t>* required by law;</w:t>
      </w:r>
    </w:p>
    <w:p>
      <w:pPr>
        <w:pStyle w:val="Body A"/>
        <w:spacing w:line="288" w:lineRule="auto"/>
        <w:rPr>
          <w:lang w:val="en-US"/>
        </w:rPr>
      </w:pPr>
      <w:r>
        <w:rPr>
          <w:rtl w:val="0"/>
          <w:lang w:val="en-US"/>
        </w:rPr>
        <w:t>* required by insurers or professional advisers;</w:t>
      </w:r>
    </w:p>
    <w:p>
      <w:pPr>
        <w:pStyle w:val="Body A"/>
        <w:spacing w:line="288" w:lineRule="auto"/>
        <w:rPr>
          <w:lang w:val="en-US"/>
        </w:rPr>
      </w:pPr>
      <w:r>
        <w:rPr>
          <w:rtl w:val="0"/>
          <w:lang w:val="en-US"/>
        </w:rPr>
        <w:t>* reasonably necessary to protect legal rights or interests;</w:t>
      </w:r>
    </w:p>
    <w:p>
      <w:pPr>
        <w:pStyle w:val="Body A"/>
        <w:spacing w:line="288" w:lineRule="auto"/>
        <w:rPr>
          <w:lang w:val="en-US"/>
        </w:rPr>
      </w:pPr>
      <w:r>
        <w:rPr>
          <w:rtl w:val="0"/>
          <w:lang w:val="en-US"/>
        </w:rPr>
        <w:t>* or otherwise permitted under our General Terms of Advisory Engagement.</w:t>
      </w:r>
    </w:p>
    <w:p>
      <w:pPr>
        <w:pStyle w:val="Body A"/>
        <w:spacing w:line="288" w:lineRule="auto"/>
      </w:pPr>
    </w:p>
    <w:p>
      <w:pPr>
        <w:pStyle w:val="Body A"/>
        <w:spacing w:line="288" w:lineRule="auto"/>
        <w:rPr>
          <w:lang w:val="en-US"/>
        </w:rPr>
      </w:pPr>
      <w:r>
        <w:rPr>
          <w:rtl w:val="0"/>
          <w:lang w:val="en-US"/>
        </w:rPr>
        <w:t>Confidentiality obligations continue following termination of the engagement.</w:t>
      </w:r>
    </w:p>
    <w:p>
      <w:pPr>
        <w:pStyle w:val="Body A"/>
        <w:spacing w:line="288" w:lineRule="auto"/>
      </w:pPr>
    </w:p>
    <w:p>
      <w:pPr>
        <w:pStyle w:val="Body A"/>
        <w:spacing w:line="288" w:lineRule="auto"/>
        <w:rPr>
          <w:b w:val="1"/>
          <w:bCs w:val="1"/>
          <w:lang w:val="en-US"/>
        </w:rPr>
      </w:pPr>
      <w:r>
        <w:rPr>
          <w:b w:val="1"/>
          <w:bCs w:val="1"/>
          <w:rtl w:val="0"/>
          <w:lang w:val="en-US"/>
        </w:rPr>
        <w:t>12. Data Protection</w:t>
      </w:r>
    </w:p>
    <w:p>
      <w:pPr>
        <w:pStyle w:val="Body A"/>
        <w:spacing w:line="288" w:lineRule="auto"/>
      </w:pPr>
    </w:p>
    <w:p>
      <w:pPr>
        <w:pStyle w:val="Body A"/>
        <w:spacing w:line="288" w:lineRule="auto"/>
        <w:rPr>
          <w:lang w:val="en-US"/>
        </w:rPr>
      </w:pPr>
      <w:r>
        <w:rPr>
          <w:rtl w:val="0"/>
          <w:lang w:val="en-US"/>
        </w:rPr>
        <w:t>Hayhills processes personal data in accordance with:</w:t>
      </w:r>
    </w:p>
    <w:p>
      <w:pPr>
        <w:pStyle w:val="Body A"/>
        <w:spacing w:line="288" w:lineRule="auto"/>
      </w:pPr>
    </w:p>
    <w:p>
      <w:pPr>
        <w:pStyle w:val="Body A"/>
        <w:spacing w:line="288" w:lineRule="auto"/>
      </w:pPr>
      <w:r>
        <w:rPr>
          <w:rtl w:val="0"/>
          <w:lang w:val="da-DK"/>
        </w:rPr>
        <w:t>* UK GDPR;</w:t>
      </w:r>
    </w:p>
    <w:p>
      <w:pPr>
        <w:pStyle w:val="Body A"/>
        <w:spacing w:line="288" w:lineRule="auto"/>
        <w:rPr>
          <w:lang w:val="en-US"/>
        </w:rPr>
      </w:pPr>
      <w:r>
        <w:rPr>
          <w:rtl w:val="0"/>
          <w:lang w:val="en-US"/>
        </w:rPr>
        <w:t>* the Data Protection Act 2018;</w:t>
      </w:r>
    </w:p>
    <w:p>
      <w:pPr>
        <w:pStyle w:val="Body A"/>
        <w:spacing w:line="288" w:lineRule="auto"/>
      </w:pPr>
      <w:r>
        <w:rPr>
          <w:rtl w:val="0"/>
          <w:lang w:val="en-US"/>
        </w:rPr>
        <w:t>* and Hayhills</w:t>
      </w:r>
      <w:r>
        <w:rPr>
          <w:rFonts w:ascii="Arial Unicode MS" w:hAnsi="Arial Unicode MS" w:hint="default"/>
          <w:rtl w:val="1"/>
          <w:lang w:val="ar-SA" w:bidi="ar-SA"/>
        </w:rPr>
        <w:t xml:space="preserve">’ </w:t>
      </w:r>
      <w:r>
        <w:rPr>
          <w:rtl w:val="0"/>
          <w:lang w:val="da-DK"/>
        </w:rPr>
        <w:t>Privacy Policy.</w:t>
      </w:r>
    </w:p>
    <w:p>
      <w:pPr>
        <w:pStyle w:val="Body A"/>
        <w:spacing w:line="288" w:lineRule="auto"/>
      </w:pPr>
    </w:p>
    <w:p>
      <w:pPr>
        <w:pStyle w:val="Body A"/>
        <w:spacing w:line="288" w:lineRule="auto"/>
        <w:rPr>
          <w:lang w:val="en-US"/>
        </w:rPr>
      </w:pPr>
      <w:r>
        <w:rPr>
          <w:rtl w:val="0"/>
          <w:lang w:val="en-US"/>
        </w:rPr>
        <w:t>Clients should review the Privacy Policy available on our website.</w:t>
      </w:r>
    </w:p>
    <w:p>
      <w:pPr>
        <w:pStyle w:val="Body A"/>
        <w:spacing w:line="288" w:lineRule="auto"/>
      </w:pPr>
    </w:p>
    <w:p>
      <w:pPr>
        <w:pStyle w:val="Body A"/>
        <w:spacing w:line="288" w:lineRule="auto"/>
        <w:rPr>
          <w:b w:val="1"/>
          <w:bCs w:val="1"/>
          <w:lang w:val="en-US"/>
        </w:rPr>
      </w:pPr>
      <w:r>
        <w:rPr>
          <w:b w:val="1"/>
          <w:bCs w:val="1"/>
          <w:rtl w:val="0"/>
          <w:lang w:val="en-US"/>
        </w:rPr>
        <w:t>13. Limitation of Liability</w:t>
      </w:r>
    </w:p>
    <w:p>
      <w:pPr>
        <w:pStyle w:val="Body A"/>
        <w:spacing w:line="288" w:lineRule="auto"/>
      </w:pPr>
    </w:p>
    <w:p>
      <w:pPr>
        <w:pStyle w:val="Body A"/>
        <w:spacing w:line="288" w:lineRule="auto"/>
      </w:pPr>
      <w:r>
        <w:rPr>
          <w:rtl w:val="0"/>
          <w:lang w:val="en-US"/>
        </w:rPr>
        <w:t>Attention is specifically drawn to the limitation of liability provisions contained within Hayhills</w:t>
      </w:r>
      <w:r>
        <w:rPr>
          <w:rFonts w:ascii="Arial Unicode MS" w:hAnsi="Arial Unicode MS" w:hint="default"/>
          <w:rtl w:val="1"/>
          <w:lang w:val="ar-SA" w:bidi="ar-SA"/>
        </w:rPr>
        <w:t xml:space="preserve">’ </w:t>
      </w:r>
      <w:r>
        <w:rPr>
          <w:rtl w:val="0"/>
          <w:lang w:val="en-US"/>
        </w:rPr>
        <w:t>General Terms of Advisory Engagement.</w:t>
      </w:r>
    </w:p>
    <w:p>
      <w:pPr>
        <w:pStyle w:val="Body A"/>
        <w:spacing w:line="288" w:lineRule="auto"/>
      </w:pPr>
    </w:p>
    <w:p>
      <w:pPr>
        <w:pStyle w:val="Body A"/>
        <w:spacing w:line="288" w:lineRule="auto"/>
      </w:pPr>
      <w:r>
        <w:rPr>
          <w:rtl w:val="0"/>
          <w:lang w:val="en-US"/>
        </w:rPr>
        <w:t>Unless otherwise expressly agreed in writing, Hayhills</w:t>
      </w:r>
      <w:r>
        <w:rPr>
          <w:rFonts w:ascii="Arial Unicode MS" w:hAnsi="Arial Unicode MS" w:hint="default"/>
          <w:rtl w:val="1"/>
          <w:lang w:val="ar-SA" w:bidi="ar-SA"/>
        </w:rPr>
        <w:t xml:space="preserve">’ </w:t>
      </w:r>
      <w:r>
        <w:rPr>
          <w:rtl w:val="0"/>
          <w:lang w:val="en-US"/>
        </w:rPr>
        <w:t>liability shall be limited in accordance with those Terms.</w:t>
      </w:r>
    </w:p>
    <w:p>
      <w:pPr>
        <w:pStyle w:val="Body A"/>
        <w:spacing w:line="288" w:lineRule="auto"/>
      </w:pPr>
    </w:p>
    <w:p>
      <w:pPr>
        <w:pStyle w:val="Body A"/>
        <w:spacing w:line="288" w:lineRule="auto"/>
        <w:rPr>
          <w:lang w:val="en-US"/>
        </w:rPr>
      </w:pPr>
    </w:p>
    <w:p>
      <w:pPr>
        <w:pStyle w:val="Body A"/>
        <w:spacing w:line="288" w:lineRule="auto"/>
        <w:rPr>
          <w:b w:val="1"/>
          <w:bCs w:val="1"/>
          <w:lang w:val="en-US"/>
        </w:rPr>
      </w:pPr>
      <w:r>
        <w:rPr>
          <w:b w:val="1"/>
          <w:bCs w:val="1"/>
          <w:rtl w:val="0"/>
          <w:lang w:val="en-US"/>
        </w:rPr>
        <w:t>14. No Guarantee of Outcome</w:t>
      </w:r>
    </w:p>
    <w:p>
      <w:pPr>
        <w:pStyle w:val="Body A"/>
        <w:spacing w:line="288" w:lineRule="auto"/>
      </w:pPr>
    </w:p>
    <w:p>
      <w:pPr>
        <w:pStyle w:val="Body A"/>
        <w:spacing w:line="288" w:lineRule="auto"/>
        <w:rPr>
          <w:lang w:val="en-US"/>
        </w:rPr>
      </w:pPr>
      <w:r>
        <w:rPr>
          <w:rtl w:val="0"/>
          <w:lang w:val="en-US"/>
        </w:rPr>
        <w:t>Hayhills provides commercially focused advisory support only.</w:t>
      </w:r>
    </w:p>
    <w:p>
      <w:pPr>
        <w:pStyle w:val="Body A"/>
        <w:spacing w:line="288" w:lineRule="auto"/>
      </w:pPr>
    </w:p>
    <w:p>
      <w:pPr>
        <w:pStyle w:val="Body A"/>
        <w:spacing w:line="288" w:lineRule="auto"/>
        <w:rPr>
          <w:lang w:val="en-US"/>
        </w:rPr>
      </w:pPr>
      <w:r>
        <w:rPr>
          <w:rtl w:val="0"/>
          <w:lang w:val="en-US"/>
        </w:rPr>
        <w:t>No representation, warranty or guarantee is given regarding:</w:t>
      </w:r>
    </w:p>
    <w:p>
      <w:pPr>
        <w:pStyle w:val="Body A"/>
        <w:spacing w:line="288" w:lineRule="auto"/>
      </w:pPr>
    </w:p>
    <w:p>
      <w:pPr>
        <w:pStyle w:val="Body A"/>
        <w:spacing w:line="288" w:lineRule="auto"/>
        <w:rPr>
          <w:lang w:val="en-US"/>
        </w:rPr>
      </w:pPr>
      <w:r>
        <w:rPr>
          <w:rtl w:val="0"/>
          <w:lang w:val="en-US"/>
        </w:rPr>
        <w:t>* legal outcomes;</w:t>
      </w:r>
    </w:p>
    <w:p>
      <w:pPr>
        <w:pStyle w:val="Body A"/>
        <w:spacing w:line="288" w:lineRule="auto"/>
        <w:rPr>
          <w:lang w:val="en-US"/>
        </w:rPr>
      </w:pPr>
      <w:r>
        <w:rPr>
          <w:rtl w:val="0"/>
          <w:lang w:val="en-US"/>
        </w:rPr>
        <w:t>* negotiations;</w:t>
      </w:r>
    </w:p>
    <w:p>
      <w:pPr>
        <w:pStyle w:val="Body A"/>
        <w:spacing w:line="288" w:lineRule="auto"/>
        <w:rPr>
          <w:lang w:val="en-US"/>
        </w:rPr>
      </w:pPr>
      <w:r>
        <w:rPr>
          <w:rtl w:val="0"/>
          <w:lang w:val="en-US"/>
        </w:rPr>
        <w:t>* settlements;</w:t>
      </w:r>
    </w:p>
    <w:p>
      <w:pPr>
        <w:pStyle w:val="Body A"/>
        <w:spacing w:line="288" w:lineRule="auto"/>
        <w:rPr>
          <w:lang w:val="en-US"/>
        </w:rPr>
      </w:pPr>
      <w:r>
        <w:rPr>
          <w:rtl w:val="0"/>
          <w:lang w:val="en-US"/>
        </w:rPr>
        <w:t>* disputes;</w:t>
      </w:r>
    </w:p>
    <w:p>
      <w:pPr>
        <w:pStyle w:val="Body A"/>
        <w:spacing w:line="288" w:lineRule="auto"/>
        <w:rPr>
          <w:lang w:val="fr-FR"/>
        </w:rPr>
      </w:pPr>
      <w:r>
        <w:rPr>
          <w:rtl w:val="0"/>
          <w:lang w:val="fr-FR"/>
        </w:rPr>
        <w:t>* enforcement;</w:t>
      </w:r>
    </w:p>
    <w:p>
      <w:pPr>
        <w:pStyle w:val="Body A"/>
        <w:spacing w:line="288" w:lineRule="auto"/>
        <w:rPr>
          <w:lang w:val="it-IT"/>
        </w:rPr>
      </w:pPr>
      <w:r>
        <w:rPr>
          <w:rtl w:val="0"/>
          <w:lang w:val="it-IT"/>
        </w:rPr>
        <w:t>* commercial success;</w:t>
      </w:r>
    </w:p>
    <w:p>
      <w:pPr>
        <w:pStyle w:val="Body A"/>
        <w:spacing w:line="288" w:lineRule="auto"/>
        <w:rPr>
          <w:lang w:val="en-US"/>
        </w:rPr>
      </w:pPr>
      <w:r>
        <w:rPr>
          <w:rtl w:val="0"/>
          <w:lang w:val="en-US"/>
        </w:rPr>
        <w:t>* or strategic outcomes.</w:t>
      </w:r>
    </w:p>
    <w:p>
      <w:pPr>
        <w:pStyle w:val="Body A"/>
        <w:spacing w:line="288" w:lineRule="auto"/>
      </w:pPr>
    </w:p>
    <w:p>
      <w:pPr>
        <w:pStyle w:val="Body A"/>
        <w:spacing w:line="288" w:lineRule="auto"/>
        <w:rPr>
          <w:lang w:val="en-US"/>
        </w:rPr>
      </w:pPr>
      <w:r>
        <w:rPr>
          <w:rtl w:val="0"/>
          <w:lang w:val="en-US"/>
        </w:rPr>
        <w:t>Commercial and legal decisions remain the responsibility of the client.</w:t>
      </w:r>
    </w:p>
    <w:p>
      <w:pPr>
        <w:pStyle w:val="Body A"/>
        <w:spacing w:line="288" w:lineRule="auto"/>
      </w:pPr>
    </w:p>
    <w:p>
      <w:pPr>
        <w:pStyle w:val="Body A"/>
        <w:spacing w:line="288" w:lineRule="auto"/>
        <w:rPr>
          <w:b w:val="1"/>
          <w:bCs w:val="1"/>
          <w:lang w:val="it-IT"/>
        </w:rPr>
      </w:pPr>
      <w:r>
        <w:rPr>
          <w:b w:val="1"/>
          <w:bCs w:val="1"/>
          <w:rtl w:val="0"/>
          <w:lang w:val="it-IT"/>
        </w:rPr>
        <w:t>15. Termination</w:t>
      </w:r>
    </w:p>
    <w:p>
      <w:pPr>
        <w:pStyle w:val="Body A"/>
        <w:spacing w:line="288" w:lineRule="auto"/>
      </w:pPr>
    </w:p>
    <w:p>
      <w:pPr>
        <w:pStyle w:val="Body A"/>
        <w:spacing w:line="288" w:lineRule="auto"/>
        <w:rPr>
          <w:lang w:val="en-US"/>
        </w:rPr>
      </w:pPr>
      <w:r>
        <w:rPr>
          <w:rtl w:val="0"/>
          <w:lang w:val="en-US"/>
        </w:rPr>
        <w:t>Either party may terminate this engagement upon written notice.</w:t>
      </w:r>
    </w:p>
    <w:p>
      <w:pPr>
        <w:pStyle w:val="Body A"/>
        <w:spacing w:line="288" w:lineRule="auto"/>
      </w:pPr>
    </w:p>
    <w:p>
      <w:pPr>
        <w:pStyle w:val="Body A"/>
        <w:spacing w:line="288" w:lineRule="auto"/>
        <w:rPr>
          <w:lang w:val="en-US"/>
        </w:rPr>
      </w:pPr>
      <w:r>
        <w:rPr>
          <w:rtl w:val="0"/>
          <w:lang w:val="en-US"/>
        </w:rPr>
        <w:t>Hayhills may terminate immediately where:</w:t>
      </w:r>
    </w:p>
    <w:p>
      <w:pPr>
        <w:pStyle w:val="Body A"/>
        <w:spacing w:line="288" w:lineRule="auto"/>
      </w:pPr>
    </w:p>
    <w:p>
      <w:pPr>
        <w:pStyle w:val="Body A"/>
        <w:spacing w:line="288" w:lineRule="auto"/>
        <w:rPr>
          <w:lang w:val="en-US"/>
        </w:rPr>
      </w:pPr>
      <w:r>
        <w:rPr>
          <w:rtl w:val="0"/>
          <w:lang w:val="en-US"/>
        </w:rPr>
        <w:t>* invoices remain unpaid;</w:t>
      </w:r>
    </w:p>
    <w:p>
      <w:pPr>
        <w:pStyle w:val="Body A"/>
        <w:spacing w:line="288" w:lineRule="auto"/>
        <w:rPr>
          <w:lang w:val="en-US"/>
        </w:rPr>
      </w:pPr>
      <w:r>
        <w:rPr>
          <w:rtl w:val="0"/>
          <w:lang w:val="en-US"/>
        </w:rPr>
        <w:t>* account balances are not replenished;</w:t>
      </w:r>
    </w:p>
    <w:p>
      <w:pPr>
        <w:pStyle w:val="Body A"/>
        <w:spacing w:line="288" w:lineRule="auto"/>
        <w:rPr>
          <w:lang w:val="en-US"/>
        </w:rPr>
      </w:pPr>
      <w:r>
        <w:rPr>
          <w:rtl w:val="0"/>
          <w:lang w:val="en-US"/>
        </w:rPr>
        <w:t>* instructions become inappropriate;</w:t>
      </w:r>
    </w:p>
    <w:p>
      <w:pPr>
        <w:pStyle w:val="Body A"/>
        <w:spacing w:line="288" w:lineRule="auto"/>
        <w:rPr>
          <w:lang w:val="en-US"/>
        </w:rPr>
      </w:pPr>
      <w:r>
        <w:rPr>
          <w:rtl w:val="0"/>
          <w:lang w:val="en-US"/>
        </w:rPr>
        <w:t>* conflicts arise;</w:t>
      </w:r>
    </w:p>
    <w:p>
      <w:pPr>
        <w:pStyle w:val="Body A"/>
        <w:spacing w:line="288" w:lineRule="auto"/>
      </w:pPr>
      <w:r>
        <w:rPr>
          <w:rtl w:val="0"/>
          <w:lang w:val="en-US"/>
        </w:rPr>
        <w:t>* the matter falls outside Hayhills</w:t>
      </w:r>
      <w:r>
        <w:rPr>
          <w:rFonts w:ascii="Arial Unicode MS" w:hAnsi="Arial Unicode MS" w:hint="default"/>
          <w:rtl w:val="1"/>
          <w:lang w:val="ar-SA" w:bidi="ar-SA"/>
        </w:rPr>
        <w:t xml:space="preserve">’ </w:t>
      </w:r>
      <w:r>
        <w:rPr>
          <w:rtl w:val="0"/>
          <w:lang w:val="en-US"/>
        </w:rPr>
        <w:t>permitted scope;</w:t>
      </w:r>
    </w:p>
    <w:p>
      <w:pPr>
        <w:pStyle w:val="Body A"/>
        <w:spacing w:line="288" w:lineRule="auto"/>
        <w:rPr>
          <w:lang w:val="en-US"/>
        </w:rPr>
      </w:pPr>
      <w:r>
        <w:rPr>
          <w:rtl w:val="0"/>
          <w:lang w:val="en-US"/>
        </w:rPr>
        <w:t>* trust and confidence break down;</w:t>
      </w:r>
    </w:p>
    <w:p>
      <w:pPr>
        <w:pStyle w:val="Body A"/>
        <w:spacing w:line="288" w:lineRule="auto"/>
        <w:rPr>
          <w:lang w:val="en-US"/>
        </w:rPr>
      </w:pPr>
      <w:r>
        <w:rPr>
          <w:rtl w:val="0"/>
          <w:lang w:val="en-US"/>
        </w:rPr>
        <w:t>* or continuing would be commercially or professionally inappropriate.</w:t>
      </w:r>
    </w:p>
    <w:p>
      <w:pPr>
        <w:pStyle w:val="Body A"/>
        <w:spacing w:line="288" w:lineRule="auto"/>
      </w:pPr>
    </w:p>
    <w:p>
      <w:pPr>
        <w:pStyle w:val="Body A"/>
        <w:spacing w:line="288" w:lineRule="auto"/>
        <w:rPr>
          <w:lang w:val="en-US"/>
        </w:rPr>
      </w:pPr>
      <w:r>
        <w:rPr>
          <w:rtl w:val="0"/>
          <w:lang w:val="en-US"/>
        </w:rPr>
        <w:t>Fees and liabilities accrued prior to termination remain payable.</w:t>
      </w:r>
    </w:p>
    <w:p>
      <w:pPr>
        <w:pStyle w:val="Body A"/>
        <w:spacing w:line="288" w:lineRule="auto"/>
      </w:pPr>
    </w:p>
    <w:p>
      <w:pPr>
        <w:pStyle w:val="Body A"/>
        <w:spacing w:line="288" w:lineRule="auto"/>
        <w:rPr>
          <w:b w:val="1"/>
          <w:bCs w:val="1"/>
          <w:lang w:val="en-US"/>
        </w:rPr>
      </w:pPr>
      <w:r>
        <w:rPr>
          <w:b w:val="1"/>
          <w:bCs w:val="1"/>
          <w:rtl w:val="0"/>
          <w:lang w:val="en-US"/>
        </w:rPr>
        <w:t>16. Cancellation Rights</w:t>
      </w:r>
    </w:p>
    <w:p>
      <w:pPr>
        <w:pStyle w:val="Body A"/>
        <w:spacing w:line="288" w:lineRule="auto"/>
      </w:pPr>
    </w:p>
    <w:p>
      <w:pPr>
        <w:pStyle w:val="Body A"/>
        <w:spacing w:line="288" w:lineRule="auto"/>
        <w:rPr>
          <w:lang w:val="en-US"/>
        </w:rPr>
      </w:pPr>
      <w:r>
        <w:rPr>
          <w:rtl w:val="0"/>
          <w:lang w:val="en-US"/>
        </w:rPr>
        <w:t>Where applicable, clients may have statutory cancellation rights under consumer protection legislation.</w:t>
      </w:r>
    </w:p>
    <w:p>
      <w:pPr>
        <w:pStyle w:val="Body A"/>
        <w:spacing w:line="288" w:lineRule="auto"/>
      </w:pPr>
    </w:p>
    <w:p>
      <w:pPr>
        <w:pStyle w:val="Body A"/>
        <w:spacing w:line="288" w:lineRule="auto"/>
        <w:rPr>
          <w:lang w:val="en-US"/>
        </w:rPr>
      </w:pPr>
      <w:r>
        <w:rPr>
          <w:rtl w:val="0"/>
          <w:lang w:val="en-US"/>
        </w:rPr>
        <w:t>Where clients request Hayhills to commence work immediately, they acknowledge that:</w:t>
      </w:r>
    </w:p>
    <w:p>
      <w:pPr>
        <w:pStyle w:val="Body A"/>
        <w:spacing w:line="288" w:lineRule="auto"/>
      </w:pPr>
    </w:p>
    <w:p>
      <w:pPr>
        <w:pStyle w:val="Body A"/>
        <w:spacing w:line="288" w:lineRule="auto"/>
        <w:rPr>
          <w:lang w:val="en-US"/>
        </w:rPr>
      </w:pPr>
      <w:r>
        <w:rPr>
          <w:rtl w:val="0"/>
          <w:lang w:val="en-US"/>
        </w:rPr>
        <w:t>* work may begin before expiry of any cancellation period;</w:t>
      </w:r>
    </w:p>
    <w:p>
      <w:pPr>
        <w:pStyle w:val="Body A"/>
        <w:spacing w:line="288" w:lineRule="auto"/>
        <w:rPr>
          <w:lang w:val="en-US"/>
        </w:rPr>
      </w:pPr>
      <w:r>
        <w:rPr>
          <w:rtl w:val="0"/>
          <w:lang w:val="en-US"/>
        </w:rPr>
        <w:t>* fees may become payable for work undertaken during that period;</w:t>
      </w:r>
    </w:p>
    <w:p>
      <w:pPr>
        <w:pStyle w:val="Body A"/>
        <w:spacing w:line="288" w:lineRule="auto"/>
        <w:rPr>
          <w:lang w:val="en-US"/>
        </w:rPr>
      </w:pPr>
      <w:r>
        <w:rPr>
          <w:rtl w:val="0"/>
          <w:lang w:val="en-US"/>
        </w:rPr>
        <w:t>* and cancellation rights may cease once services have been substantially performed.</w:t>
      </w:r>
    </w:p>
    <w:p>
      <w:pPr>
        <w:pStyle w:val="Body A"/>
        <w:spacing w:line="288" w:lineRule="auto"/>
      </w:pPr>
    </w:p>
    <w:p>
      <w:pPr>
        <w:pStyle w:val="Body A"/>
        <w:spacing w:line="288" w:lineRule="auto"/>
        <w:rPr>
          <w:lang w:val="en-US"/>
        </w:rPr>
      </w:pPr>
    </w:p>
    <w:p>
      <w:pPr>
        <w:pStyle w:val="Body A"/>
        <w:spacing w:line="288" w:lineRule="auto"/>
        <w:rPr>
          <w:lang w:val="en-US"/>
        </w:rPr>
      </w:pPr>
      <w:r>
        <w:rPr>
          <w:rtl w:val="0"/>
          <w:lang w:val="en-US"/>
        </w:rPr>
        <w:t>Further details are contained within our General Terms of Advisory Engagement.</w:t>
      </w:r>
    </w:p>
    <w:p>
      <w:pPr>
        <w:pStyle w:val="Body A"/>
        <w:spacing w:line="288" w:lineRule="auto"/>
        <w:rPr>
          <w:lang w:val="en-US"/>
        </w:rPr>
      </w:pPr>
    </w:p>
    <w:p>
      <w:pPr>
        <w:pStyle w:val="Body A"/>
        <w:spacing w:line="288" w:lineRule="auto"/>
        <w:rPr>
          <w:b w:val="1"/>
          <w:bCs w:val="1"/>
          <w:lang w:val="en-US"/>
        </w:rPr>
      </w:pPr>
      <w:r>
        <w:rPr>
          <w:b w:val="1"/>
          <w:bCs w:val="1"/>
          <w:rtl w:val="0"/>
          <w:lang w:val="en-US"/>
        </w:rPr>
        <w:t>17. Acceptance, Electronic Signature and Acknowledgement of Receipt</w:t>
      </w:r>
    </w:p>
    <w:p>
      <w:pPr>
        <w:pStyle w:val="Body A"/>
        <w:spacing w:line="288" w:lineRule="auto"/>
      </w:pPr>
    </w:p>
    <w:p>
      <w:pPr>
        <w:pStyle w:val="Body A"/>
        <w:spacing w:line="288" w:lineRule="auto"/>
      </w:pPr>
      <w:r>
        <w:rPr>
          <w:rtl w:val="0"/>
          <w:lang w:val="en-US"/>
        </w:rPr>
        <w:t>This Engagement Letter and Hayhills</w:t>
      </w:r>
      <w:r>
        <w:rPr>
          <w:rFonts w:ascii="Arial Unicode MS" w:hAnsi="Arial Unicode MS" w:hint="default"/>
          <w:rtl w:val="1"/>
          <w:lang w:val="ar-SA" w:bidi="ar-SA"/>
        </w:rPr>
        <w:t xml:space="preserve">’ </w:t>
      </w:r>
      <w:r>
        <w:rPr>
          <w:rtl w:val="0"/>
          <w:lang w:val="en-US"/>
        </w:rPr>
        <w:t>General Terms of Advisory Engagement may be issued, accepted and signed electronically.</w:t>
      </w:r>
    </w:p>
    <w:p>
      <w:pPr>
        <w:pStyle w:val="Body A"/>
        <w:spacing w:line="288" w:lineRule="auto"/>
      </w:pPr>
    </w:p>
    <w:p>
      <w:pPr>
        <w:pStyle w:val="Body A"/>
        <w:spacing w:line="288" w:lineRule="auto"/>
      </w:pPr>
      <w:r>
        <w:rPr>
          <w:rtl w:val="0"/>
          <w:lang w:val="en-US"/>
        </w:rPr>
        <w:t>Unless Hayhills agrees otherwise in writing, the client</w:t>
      </w:r>
      <w:r>
        <w:rPr>
          <w:rFonts w:ascii="Arial Unicode MS" w:hAnsi="Arial Unicode MS" w:hint="default"/>
          <w:rtl w:val="1"/>
          <w:lang w:val="ar-SA" w:bidi="ar-SA"/>
        </w:rPr>
        <w:t>’</w:t>
      </w:r>
      <w:r>
        <w:rPr>
          <w:rtl w:val="0"/>
          <w:lang w:val="en-US"/>
        </w:rPr>
        <w:t>s acceptance of this Engagement Letter and the accompanying General Terms of Advisory Engagement may be evidenced by any one or more of the following:</w:t>
      </w:r>
    </w:p>
    <w:p>
      <w:pPr>
        <w:pStyle w:val="Body A"/>
        <w:spacing w:line="288" w:lineRule="auto"/>
      </w:pPr>
    </w:p>
    <w:p>
      <w:pPr>
        <w:pStyle w:val="Body A"/>
        <w:spacing w:line="288" w:lineRule="auto"/>
        <w:rPr>
          <w:lang w:val="en-US"/>
        </w:rPr>
      </w:pPr>
      <w:r>
        <w:rPr>
          <w:rtl w:val="0"/>
          <w:lang w:val="en-US"/>
        </w:rPr>
        <w:t>* electronic signature through DocuSign, ZohoSign or any other electronic signature platform selected by Hayhills;</w:t>
      </w:r>
    </w:p>
    <w:p>
      <w:pPr>
        <w:pStyle w:val="Body A"/>
        <w:spacing w:line="288" w:lineRule="auto"/>
        <w:rPr>
          <w:lang w:val="en-US"/>
        </w:rPr>
      </w:pPr>
      <w:r>
        <w:rPr>
          <w:rtl w:val="0"/>
          <w:lang w:val="en-US"/>
        </w:rPr>
        <w:t>* written confirmation by email accepting the terms;</w:t>
      </w:r>
    </w:p>
    <w:p>
      <w:pPr>
        <w:pStyle w:val="Body A"/>
        <w:spacing w:line="288" w:lineRule="auto"/>
        <w:rPr>
          <w:lang w:val="en-US"/>
        </w:rPr>
      </w:pPr>
      <w:r>
        <w:rPr>
          <w:rtl w:val="0"/>
          <w:lang w:val="en-US"/>
        </w:rPr>
        <w:t>* payment of any consultation fee, payment on account, retainer or invoice issued in connection with the matter;</w:t>
      </w:r>
    </w:p>
    <w:p>
      <w:pPr>
        <w:pStyle w:val="Body A"/>
        <w:spacing w:line="288" w:lineRule="auto"/>
        <w:rPr>
          <w:lang w:val="en-US"/>
        </w:rPr>
      </w:pPr>
      <w:r>
        <w:rPr>
          <w:rtl w:val="0"/>
          <w:lang w:val="en-US"/>
        </w:rPr>
        <w:t>* providing further instructions after receipt of this Engagement Letter and the General Terms of Advisory Engagement; or</w:t>
      </w:r>
    </w:p>
    <w:p>
      <w:pPr>
        <w:pStyle w:val="Body A"/>
        <w:spacing w:line="288" w:lineRule="auto"/>
        <w:rPr>
          <w:lang w:val="en-US"/>
        </w:rPr>
      </w:pPr>
      <w:r>
        <w:rPr>
          <w:rtl w:val="0"/>
          <w:lang w:val="en-US"/>
        </w:rPr>
        <w:t>* otherwise proceeding with the engagement in a manner consistent with acceptance of these terms.</w:t>
      </w:r>
    </w:p>
    <w:p>
      <w:pPr>
        <w:pStyle w:val="Body A"/>
        <w:spacing w:line="288" w:lineRule="auto"/>
      </w:pPr>
    </w:p>
    <w:p>
      <w:pPr>
        <w:pStyle w:val="Body A"/>
        <w:spacing w:line="288" w:lineRule="auto"/>
        <w:rPr>
          <w:lang w:val="en-US"/>
        </w:rPr>
      </w:pPr>
      <w:r>
        <w:rPr>
          <w:rtl w:val="0"/>
          <w:lang w:val="en-US"/>
        </w:rPr>
        <w:t>Where this Engagement Letter or any related document is issued for electronic signature, the client acknowledges that the electronic signature process may generate an audit trail, certificate of completion, time stamp, delivery record or similar confirmation evidencing transmission, receipt, review and signature.</w:t>
      </w:r>
    </w:p>
    <w:p>
      <w:pPr>
        <w:pStyle w:val="Body A"/>
        <w:spacing w:line="288" w:lineRule="auto"/>
      </w:pPr>
    </w:p>
    <w:p>
      <w:pPr>
        <w:pStyle w:val="Body A"/>
        <w:spacing w:line="288" w:lineRule="auto"/>
        <w:rPr>
          <w:lang w:val="en-US"/>
        </w:rPr>
      </w:pPr>
      <w:r>
        <w:rPr>
          <w:rtl w:val="0"/>
          <w:lang w:val="en-US"/>
        </w:rPr>
        <w:t>A digitally signed copy, together with any available completion certificate or audit record, may be retained by Hayhills and treated as evidence of receipt, acceptance and agreement to the terms of engagement.</w:t>
      </w:r>
    </w:p>
    <w:p>
      <w:pPr>
        <w:pStyle w:val="Body A"/>
        <w:spacing w:line="288" w:lineRule="auto"/>
      </w:pPr>
    </w:p>
    <w:p>
      <w:pPr>
        <w:pStyle w:val="Body A"/>
        <w:spacing w:line="288" w:lineRule="auto"/>
        <w:rPr>
          <w:lang w:val="en-US"/>
        </w:rPr>
      </w:pPr>
      <w:r>
        <w:rPr>
          <w:rtl w:val="0"/>
          <w:lang w:val="en-US"/>
        </w:rPr>
        <w:t>The client agrees that an electronic signature shall have the same effect as a handwritten signature and that electronic records relating to the signing process may be relied upon by Hayhills for evidential, contractual, compliance and administrative purposes.</w:t>
      </w:r>
    </w:p>
    <w:p>
      <w:pPr>
        <w:pStyle w:val="Body A"/>
        <w:spacing w:line="288" w:lineRule="auto"/>
      </w:pPr>
    </w:p>
    <w:p>
      <w:pPr>
        <w:pStyle w:val="Body A"/>
        <w:spacing w:line="288" w:lineRule="auto"/>
        <w:rPr>
          <w:lang w:val="en-US"/>
        </w:rPr>
      </w:pPr>
      <w:r>
        <w:rPr>
          <w:rtl w:val="0"/>
          <w:lang w:val="en-US"/>
        </w:rPr>
        <w:t>Accepted and Agreed</w:t>
      </w:r>
    </w:p>
    <w:p>
      <w:pPr>
        <w:pStyle w:val="Body A"/>
        <w:spacing w:line="288" w:lineRule="auto"/>
      </w:pPr>
    </w:p>
    <w:p>
      <w:pPr>
        <w:pStyle w:val="Body A"/>
        <w:spacing w:line="480" w:lineRule="auto"/>
        <w:rPr>
          <w:lang w:val="en-US"/>
        </w:rPr>
      </w:pPr>
      <w:r>
        <w:rPr>
          <w:rtl w:val="0"/>
          <w:lang w:val="en-US"/>
        </w:rPr>
        <w:t>Signed: ___________________________</w:t>
      </w:r>
    </w:p>
    <w:p>
      <w:pPr>
        <w:pStyle w:val="Body A"/>
        <w:spacing w:line="480" w:lineRule="auto"/>
        <w:rPr>
          <w:lang w:val="en-US"/>
        </w:rPr>
      </w:pPr>
      <w:r>
        <w:rPr>
          <w:rtl w:val="0"/>
          <w:lang w:val="en-US"/>
        </w:rPr>
        <w:t>Name: ___________________________</w:t>
      </w:r>
    </w:p>
    <w:p>
      <w:pPr>
        <w:pStyle w:val="Body A"/>
        <w:spacing w:line="480" w:lineRule="auto"/>
        <w:rPr>
          <w:lang w:val="en-US"/>
        </w:rPr>
      </w:pPr>
      <w:r>
        <w:rPr>
          <w:rtl w:val="0"/>
          <w:lang w:val="en-US"/>
        </w:rPr>
        <w:t>Position (if applicable): ___________________________</w:t>
      </w:r>
    </w:p>
    <w:p>
      <w:pPr>
        <w:pStyle w:val="Body A"/>
        <w:spacing w:line="480" w:lineRule="auto"/>
      </w:pPr>
      <w:r>
        <w:rPr>
          <w:rtl w:val="0"/>
          <w:lang w:val="en-US"/>
        </w:rPr>
        <w:t>Date: ___________________________</w:t>
      </w:r>
    </w:p>
    <w:sectPr>
      <w:headerReference w:type="default" r:id="rId4"/>
      <w:footerReference w:type="default" r:id="rId5"/>
      <w:pgSz w:w="11900" w:h="16840" w:orient="portrait"/>
      <w:pgMar w:top="1440" w:right="1440" w:bottom="1440" w:left="1440" w:header="567"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Aptos">
    <w:charset w:val="00"/>
    <w:family w:val="roman"/>
    <w:pitch w:val="default"/>
  </w:font>
  <w:font w:name="Fira San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tabs>
        <w:tab w:val="right" w:pos="9000"/>
        <w:tab w:val="clear" w:pos="9026"/>
      </w:tabs>
      <w:jc w:val="center"/>
      <w:rPr>
        <w:rFonts w:ascii="Fira Sans" w:cs="Fira Sans" w:hAnsi="Fira Sans" w:eastAsia="Fira Sans"/>
        <w:sz w:val="20"/>
        <w:szCs w:val="20"/>
      </w:rPr>
    </w:pPr>
    <w:r>
      <w:rPr>
        <w:rFonts w:ascii="Fira Sans" w:cs="Fira Sans" w:hAnsi="Fira Sans" w:eastAsia="Fira Sans"/>
        <w:sz w:val="20"/>
        <w:szCs w:val="20"/>
        <w:rtl w:val="0"/>
        <w:lang w:val="en-US"/>
      </w:rPr>
      <w:t xml:space="preserve">HAYHILLS </w:t>
    </w:r>
    <w:r>
      <w:rPr>
        <w:rFonts w:ascii="Fira Sans" w:cs="Fira Sans" w:hAnsi="Fira Sans" w:eastAsia="Fira Sans"/>
        <w:sz w:val="20"/>
        <w:szCs w:val="20"/>
        <w:rtl w:val="0"/>
        <w:lang w:val="en-US"/>
      </w:rPr>
      <w:t xml:space="preserve">LIMITED </w:t>
    </w:r>
  </w:p>
  <w:p>
    <w:pPr>
      <w:pStyle w:val="footer"/>
      <w:tabs>
        <w:tab w:val="right" w:pos="9000"/>
        <w:tab w:val="clear" w:pos="9026"/>
      </w:tabs>
      <w:jc w:val="center"/>
      <w:rPr>
        <w:rFonts w:ascii="Fira Sans" w:cs="Fira Sans" w:hAnsi="Fira Sans" w:eastAsia="Fira Sans"/>
        <w:sz w:val="20"/>
        <w:szCs w:val="20"/>
      </w:rPr>
    </w:pPr>
    <w:r>
      <w:rPr>
        <w:rFonts w:ascii="Fira Sans" w:cs="Fira Sans" w:hAnsi="Fira Sans" w:eastAsia="Fira Sans"/>
        <w:sz w:val="20"/>
        <w:szCs w:val="20"/>
        <w:rtl w:val="0"/>
        <w:lang w:val="en-US"/>
      </w:rPr>
      <w:t xml:space="preserve">Trading as Hayhills Advisory Services </w:t>
    </w:r>
  </w:p>
  <w:p>
    <w:pPr>
      <w:pStyle w:val="footer"/>
      <w:tabs>
        <w:tab w:val="right" w:pos="9000"/>
        <w:tab w:val="clear" w:pos="9026"/>
      </w:tabs>
      <w:jc w:val="center"/>
      <w:rPr>
        <w:rFonts w:ascii="Fira Sans" w:cs="Fira Sans" w:hAnsi="Fira Sans" w:eastAsia="Fira Sans"/>
        <w:sz w:val="20"/>
        <w:szCs w:val="20"/>
      </w:rPr>
    </w:pPr>
    <w:r>
      <w:rPr>
        <w:rFonts w:ascii="Fira Sans" w:cs="Fira Sans" w:hAnsi="Fira Sans" w:eastAsia="Fira Sans"/>
        <w:sz w:val="20"/>
        <w:szCs w:val="20"/>
        <w:rtl w:val="0"/>
        <w:lang w:val="en-US"/>
      </w:rPr>
      <w:t>Registered in England and Wales number 17207415</w:t>
    </w:r>
  </w:p>
  <w:p>
    <w:pPr>
      <w:pStyle w:val="footer"/>
      <w:tabs>
        <w:tab w:val="right" w:pos="9000"/>
        <w:tab w:val="clear" w:pos="9026"/>
      </w:tabs>
      <w:jc w:val="center"/>
    </w:pPr>
    <w:r>
      <w:rPr>
        <w:rFonts w:ascii="Fira Sans" w:cs="Fira Sans" w:hAnsi="Fira Sans" w:eastAsia="Fira Sans"/>
        <w:sz w:val="20"/>
        <w:szCs w:val="20"/>
        <w:rtl w:val="0"/>
        <w:lang w:val="en-US"/>
      </w:rPr>
      <w:t>Registered Office: 71-75 Shelton Street, Covent Garden, London, WC2H 9JQ, UK</w:t>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tabs>
        <w:tab w:val="right" w:pos="9000"/>
        <w:tab w:val="clear" w:pos="9026"/>
      </w:tabs>
      <w:jc w:val="center"/>
      <w:rPr>
        <w:rFonts w:ascii="Fira Sans" w:cs="Fira Sans" w:hAnsi="Fira Sans" w:eastAsia="Fira Sans"/>
      </w:rPr>
    </w:pPr>
  </w:p>
  <w:p>
    <w:pPr>
      <w:pStyle w:val="header"/>
      <w:tabs>
        <w:tab w:val="right" w:pos="9000"/>
        <w:tab w:val="clear" w:pos="9026"/>
      </w:tabs>
      <w:jc w:val="center"/>
      <w:rPr>
        <w:rFonts w:ascii="Fira Sans" w:cs="Fira Sans" w:hAnsi="Fira Sans" w:eastAsia="Fira Sans"/>
      </w:rPr>
    </w:pPr>
    <w:r>
      <w:rPr>
        <w:rFonts w:ascii="Fira Sans" w:cs="Fira Sans" w:hAnsi="Fira Sans" w:eastAsia="Fira Sans"/>
      </w:rPr>
      <w:drawing xmlns:a="http://schemas.openxmlformats.org/drawingml/2006/main">
        <wp:inline distT="0" distB="0" distL="0" distR="0">
          <wp:extent cx="1597025" cy="381000"/>
          <wp:effectExtent l="0" t="0" r="0" b="0"/>
          <wp:docPr id="1073741825" name="officeArt object" descr="A black and blue text&#10;&#10;AI-generated content may be incorrect."/>
          <wp:cNvGraphicFramePr/>
          <a:graphic xmlns:a="http://schemas.openxmlformats.org/drawingml/2006/main">
            <a:graphicData uri="http://schemas.openxmlformats.org/drawingml/2006/picture">
              <pic:pic xmlns:pic="http://schemas.openxmlformats.org/drawingml/2006/picture">
                <pic:nvPicPr>
                  <pic:cNvPr id="1073741825" name="A black and blue textAI-generated content may be incorrect." descr="A black and blue textAI-generated content may be incorrect."/>
                  <pic:cNvPicPr>
                    <a:picLocks noChangeAspect="1"/>
                  </pic:cNvPicPr>
                </pic:nvPicPr>
                <pic:blipFill>
                  <a:blip r:embed="rId1">
                    <a:extLst/>
                  </a:blip>
                  <a:srcRect l="0" t="0" r="0" b="18574"/>
                  <a:stretch>
                    <a:fillRect/>
                  </a:stretch>
                </pic:blipFill>
                <pic:spPr>
                  <a:xfrm>
                    <a:off x="0" y="0"/>
                    <a:ext cx="1597025" cy="381000"/>
                  </a:xfrm>
                  <a:prstGeom prst="rect">
                    <a:avLst/>
                  </a:prstGeom>
                  <a:ln w="12700" cap="flat">
                    <a:noFill/>
                    <a:miter lim="400000"/>
                  </a:ln>
                  <a:effectLst/>
                </pic:spPr>
              </pic:pic>
            </a:graphicData>
          </a:graphic>
        </wp:inline>
      </w:drawing>
    </w:r>
  </w:p>
  <w:p>
    <w:pPr>
      <w:pStyle w:val="header"/>
      <w:tabs>
        <w:tab w:val="right" w:pos="9000"/>
        <w:tab w:val="clear" w:pos="9026"/>
      </w:tabs>
      <w:jc w:val="center"/>
      <w:rPr>
        <w:rFonts w:ascii="Fira Sans" w:cs="Fira Sans" w:hAnsi="Fira Sans" w:eastAsia="Fira Sans"/>
        <w:sz w:val="8"/>
        <w:szCs w:val="8"/>
      </w:rPr>
    </w:pPr>
  </w:p>
  <w:p>
    <w:pPr>
      <w:pStyle w:val="header"/>
      <w:tabs>
        <w:tab w:val="right" w:pos="9000"/>
        <w:tab w:val="clear" w:pos="9026"/>
      </w:tabs>
      <w:spacing w:line="288" w:lineRule="auto"/>
      <w:jc w:val="center"/>
      <w:rPr>
        <w:rFonts w:ascii="Fira Sans" w:cs="Fira Sans" w:hAnsi="Fira Sans" w:eastAsia="Fira Sans"/>
        <w:sz w:val="20"/>
        <w:szCs w:val="20"/>
      </w:rPr>
    </w:pPr>
    <w:r>
      <w:rPr>
        <w:rFonts w:ascii="Fira Sans" w:cs="Fira Sans" w:hAnsi="Fira Sans" w:eastAsia="Fira Sans"/>
        <w:sz w:val="20"/>
        <w:szCs w:val="20"/>
        <w:rtl w:val="0"/>
        <w:lang w:val="en-US"/>
      </w:rPr>
      <w:t xml:space="preserve">Business | Management | Legal </w:t>
    </w:r>
    <w:r>
      <w:rPr>
        <w:rFonts w:ascii="Fira Sans" w:cs="Fira Sans" w:hAnsi="Fira Sans" w:eastAsia="Fira Sans"/>
        <w:sz w:val="20"/>
        <w:szCs w:val="20"/>
        <w:rtl w:val="0"/>
        <w:lang w:val="en-US"/>
      </w:rPr>
      <w:t xml:space="preserve">Advisory Services </w:t>
    </w:r>
  </w:p>
  <w:p>
    <w:pPr>
      <w:pStyle w:val="header"/>
      <w:tabs>
        <w:tab w:val="right" w:pos="9000"/>
        <w:tab w:val="clear" w:pos="9026"/>
      </w:tabs>
      <w:spacing w:line="288" w:lineRule="auto"/>
      <w:jc w:val="center"/>
      <w:rPr>
        <w:rFonts w:ascii="Fira Sans" w:cs="Fira Sans" w:hAnsi="Fira Sans" w:eastAsia="Fira Sans"/>
        <w:sz w:val="20"/>
        <w:szCs w:val="20"/>
      </w:rPr>
    </w:pPr>
    <w:r>
      <w:rPr>
        <w:rFonts w:ascii="Fira Sans" w:cs="Fira Sans" w:hAnsi="Fira Sans" w:eastAsia="Fira Sans"/>
        <w:sz w:val="20"/>
        <w:szCs w:val="20"/>
        <w:rtl w:val="0"/>
        <w:lang w:val="en-US"/>
      </w:rPr>
      <w:t>T: 0845 689 5589 | E: info@hayhills.com | W: hayhills.com</w:t>
    </w:r>
  </w:p>
  <w:p>
    <w:pPr>
      <w:pStyle w:val="header"/>
      <w:tabs>
        <w:tab w:val="right" w:pos="9000"/>
        <w:tab w:val="clear" w:pos="9026"/>
      </w:tabs>
      <w:spacing w:line="288" w:lineRule="auto"/>
      <w:jc w:val="center"/>
    </w:pPr>
    <w:r>
      <w:rPr>
        <w:rFonts w:ascii="Fira Sans" w:cs="Fira Sans" w:hAnsi="Fira Sans" w:eastAsia="Fira Sans"/>
        <w:sz w:val="20"/>
        <w:szCs w:val="20"/>
        <w:rtl w:val="0"/>
        <w:lang w:val="en-US"/>
      </w:rPr>
      <w:t>71-75 Shelton Street, Covent Garden, London, WC2H 9JQ, UK</w:t>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232" w:hanging="232"/>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1032" w:hanging="232"/>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832" w:hanging="232"/>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2632" w:hanging="232"/>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3432" w:hanging="232"/>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4232" w:hanging="232"/>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5032" w:hanging="232"/>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5832" w:hanging="232"/>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6632" w:hanging="232"/>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513"/>
        <w:tab w:val="right" w:pos="9026"/>
      </w:tabs>
      <w:suppressAutoHyphens w:val="0"/>
      <w:bidi w:val="0"/>
      <w:spacing w:before="0" w:after="0" w:line="240" w:lineRule="auto"/>
      <w:ind w:left="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n-US"/>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513"/>
        <w:tab w:val="right" w:pos="9026"/>
      </w:tabs>
      <w:suppressAutoHyphens w:val="0"/>
      <w:bidi w:val="0"/>
      <w:spacing w:before="0" w:after="0" w:line="240" w:lineRule="auto"/>
      <w:ind w:left="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en-US"/>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da-DK"/>
      <w14:textOutline w14:w="12700" w14:cap="flat">
        <w14:noFill/>
        <w14:miter w14:lim="400000"/>
      </w14:textOutline>
      <w14:textFill>
        <w14:solidFill>
          <w14:srgbClr w14:val="000000"/>
        </w14:solidFill>
      </w14:textFill>
    </w:rPr>
  </w:style>
  <w:style w:type="numbering" w:styleId="Numbered">
    <w:name w:val="Numbered"/>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_rels/header1.xml.rels><?xml version="1.0" encoding="UTF-8"?>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